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571" w:rsidRPr="00242396" w:rsidRDefault="006C494A" w:rsidP="00BB1571">
      <w:pPr>
        <w:jc w:val="right"/>
        <w:rPr>
          <w:lang w:val="lv-LV"/>
        </w:rPr>
      </w:pPr>
      <w:r>
        <w:rPr>
          <w:lang w:val="lv-LV"/>
        </w:rPr>
        <w:t>1</w:t>
      </w:r>
      <w:r w:rsidR="00B43B8F">
        <w:rPr>
          <w:lang w:val="lv-LV"/>
        </w:rPr>
        <w:t>8</w:t>
      </w:r>
      <w:r w:rsidR="00600E49">
        <w:rPr>
          <w:lang w:val="lv-LV"/>
        </w:rPr>
        <w:t>.0</w:t>
      </w:r>
      <w:r>
        <w:rPr>
          <w:lang w:val="lv-LV"/>
        </w:rPr>
        <w:t>2</w:t>
      </w:r>
      <w:r w:rsidR="00600E49">
        <w:rPr>
          <w:lang w:val="lv-LV"/>
        </w:rPr>
        <w:t>.2016</w:t>
      </w:r>
      <w:r w:rsidR="00BB1571" w:rsidRPr="00242396">
        <w:rPr>
          <w:lang w:val="lv-LV"/>
        </w:rPr>
        <w:t>.</w:t>
      </w:r>
    </w:p>
    <w:p w:rsidR="00BB1571" w:rsidRPr="00242396" w:rsidRDefault="00BB1571" w:rsidP="00BB1571">
      <w:pPr>
        <w:jc w:val="center"/>
        <w:rPr>
          <w:b/>
          <w:caps/>
          <w:lang w:val="lv-LV"/>
        </w:rPr>
      </w:pPr>
    </w:p>
    <w:p w:rsidR="00BB1571" w:rsidRPr="00242396" w:rsidRDefault="00BB1571" w:rsidP="00BB1571">
      <w:pPr>
        <w:spacing w:before="120" w:after="120"/>
        <w:jc w:val="center"/>
        <w:rPr>
          <w:b/>
          <w:caps/>
          <w:lang w:val="lv-LV"/>
        </w:rPr>
      </w:pPr>
      <w:r w:rsidRPr="00242396">
        <w:rPr>
          <w:b/>
          <w:caps/>
          <w:lang w:val="lv-LV"/>
        </w:rPr>
        <w:t>Paziņojums par iepirkuma rezultātiem</w:t>
      </w:r>
    </w:p>
    <w:p w:rsidR="00BB1571" w:rsidRPr="00242396" w:rsidRDefault="00BB1571" w:rsidP="00BB1571">
      <w:pPr>
        <w:spacing w:before="120" w:after="120"/>
        <w:jc w:val="center"/>
        <w:rPr>
          <w:rStyle w:val="Strong"/>
          <w:lang w:val="lv-LV"/>
        </w:rPr>
      </w:pPr>
      <w:r w:rsidRPr="00242396">
        <w:rPr>
          <w:rStyle w:val="Strong"/>
          <w:lang w:val="lv-LV"/>
        </w:rPr>
        <w:t>Publisko iepirkumu likuma 8.</w:t>
      </w:r>
      <w:r w:rsidRPr="00242396">
        <w:rPr>
          <w:rStyle w:val="Strong"/>
          <w:vertAlign w:val="superscript"/>
          <w:lang w:val="lv-LV"/>
        </w:rPr>
        <w:t>2</w:t>
      </w:r>
      <w:r w:rsidRPr="00242396">
        <w:rPr>
          <w:rStyle w:val="Strong"/>
          <w:lang w:val="lv-LV"/>
        </w:rPr>
        <w:t xml:space="preserve"> panta iepirkums</w:t>
      </w:r>
    </w:p>
    <w:p w:rsidR="00600E49" w:rsidRPr="00600E49" w:rsidRDefault="00600E49" w:rsidP="00600E49">
      <w:pPr>
        <w:jc w:val="center"/>
        <w:rPr>
          <w:b/>
          <w:i/>
          <w:highlight w:val="yellow"/>
          <w:lang w:val="lv-LV" w:eastAsia="zh-CN"/>
        </w:rPr>
      </w:pPr>
      <w:r w:rsidRPr="00600E49">
        <w:rPr>
          <w:b/>
          <w:bCs/>
          <w:i/>
          <w:lang w:val="lv-LV" w:eastAsia="zh-CN"/>
        </w:rPr>
        <w:t>“Distanču slēpošanas trases un autostāvvietas apgaismojuma izbūve “Dubkalna ezera meži”, Ikšķiles novadā”</w:t>
      </w:r>
    </w:p>
    <w:p w:rsidR="00600E49" w:rsidRPr="00600E49" w:rsidRDefault="00600E49" w:rsidP="00600E49">
      <w:pPr>
        <w:jc w:val="center"/>
        <w:rPr>
          <w:lang w:val="lv-LV"/>
        </w:rPr>
      </w:pPr>
      <w:r w:rsidRPr="00600E49">
        <w:rPr>
          <w:lang w:val="lv-LV"/>
        </w:rPr>
        <w:t xml:space="preserve"> (identifikācijas Nr. TSKA „Zilie kalni” 201</w:t>
      </w:r>
      <w:r w:rsidR="006C494A">
        <w:rPr>
          <w:lang w:val="lv-LV"/>
        </w:rPr>
        <w:t>6/1</w:t>
      </w:r>
      <w:r w:rsidRPr="00600E49">
        <w:rPr>
          <w:lang w:val="lv-LV"/>
        </w:rPr>
        <w:t>)</w:t>
      </w:r>
    </w:p>
    <w:p w:rsidR="00BB1571" w:rsidRDefault="00BB1571" w:rsidP="00BB1571">
      <w:pPr>
        <w:pStyle w:val="ListParagraph"/>
        <w:numPr>
          <w:ilvl w:val="0"/>
          <w:numId w:val="1"/>
        </w:numPr>
        <w:spacing w:beforeLines="100" w:before="240" w:afterLines="100" w:after="240" w:line="276" w:lineRule="auto"/>
        <w:contextualSpacing w:val="0"/>
        <w:rPr>
          <w:b/>
          <w:sz w:val="23"/>
          <w:szCs w:val="23"/>
          <w:lang w:val="lv-LV"/>
        </w:rPr>
      </w:pPr>
      <w:r w:rsidRPr="00242396">
        <w:rPr>
          <w:b/>
          <w:sz w:val="23"/>
          <w:szCs w:val="23"/>
          <w:lang w:val="lv-LV"/>
        </w:rPr>
        <w:t>Pretendent</w:t>
      </w:r>
      <w:r w:rsidR="006F6C20">
        <w:rPr>
          <w:b/>
          <w:sz w:val="23"/>
          <w:szCs w:val="23"/>
          <w:lang w:val="lv-LV"/>
        </w:rPr>
        <w:t>u</w:t>
      </w:r>
      <w:r w:rsidRPr="00242396">
        <w:rPr>
          <w:b/>
          <w:sz w:val="23"/>
          <w:szCs w:val="23"/>
          <w:lang w:val="lv-LV"/>
        </w:rPr>
        <w:t xml:space="preserve"> nosaukum</w:t>
      </w:r>
      <w:r w:rsidR="006F6C20">
        <w:rPr>
          <w:b/>
          <w:sz w:val="23"/>
          <w:szCs w:val="23"/>
          <w:lang w:val="lv-LV"/>
        </w:rPr>
        <w:t>i</w:t>
      </w:r>
      <w:r w:rsidRPr="00242396">
        <w:rPr>
          <w:b/>
          <w:sz w:val="23"/>
          <w:szCs w:val="23"/>
          <w:lang w:val="lv-LV"/>
        </w:rPr>
        <w:t xml:space="preserve"> un t</w:t>
      </w:r>
      <w:r w:rsidR="006F6C20">
        <w:rPr>
          <w:b/>
          <w:sz w:val="23"/>
          <w:szCs w:val="23"/>
          <w:lang w:val="lv-LV"/>
        </w:rPr>
        <w:t>o</w:t>
      </w:r>
      <w:r>
        <w:rPr>
          <w:b/>
          <w:sz w:val="23"/>
          <w:szCs w:val="23"/>
          <w:lang w:val="lv-LV"/>
        </w:rPr>
        <w:t xml:space="preserve"> piedāvātā</w:t>
      </w:r>
      <w:r w:rsidR="006F6C20">
        <w:rPr>
          <w:b/>
          <w:sz w:val="23"/>
          <w:szCs w:val="23"/>
          <w:lang w:val="lv-LV"/>
        </w:rPr>
        <w:t>s</w:t>
      </w:r>
      <w:r>
        <w:rPr>
          <w:b/>
          <w:sz w:val="23"/>
          <w:szCs w:val="23"/>
          <w:lang w:val="lv-LV"/>
        </w:rPr>
        <w:t xml:space="preserve"> līgumcena</w:t>
      </w:r>
      <w:r w:rsidR="006F6C20">
        <w:rPr>
          <w:b/>
          <w:sz w:val="23"/>
          <w:szCs w:val="23"/>
          <w:lang w:val="lv-LV"/>
        </w:rPr>
        <w:t>s</w:t>
      </w:r>
      <w:r w:rsidRPr="00242396">
        <w:rPr>
          <w:b/>
          <w:sz w:val="23"/>
          <w:szCs w:val="23"/>
          <w:lang w:val="lv-LV"/>
        </w:rPr>
        <w:t xml:space="preserve"> EUR bez PVN: </w:t>
      </w:r>
    </w:p>
    <w:tbl>
      <w:tblPr>
        <w:tblW w:w="7938" w:type="dxa"/>
        <w:tblInd w:w="108" w:type="dxa"/>
        <w:tblLook w:val="04A0" w:firstRow="1" w:lastRow="0" w:firstColumn="1" w:lastColumn="0" w:noHBand="0" w:noVBand="1"/>
      </w:tblPr>
      <w:tblGrid>
        <w:gridCol w:w="851"/>
        <w:gridCol w:w="3685"/>
        <w:gridCol w:w="3402"/>
      </w:tblGrid>
      <w:tr w:rsidR="006C494A" w:rsidRPr="0071671A" w:rsidTr="006C494A">
        <w:trPr>
          <w:trHeight w:val="75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94A" w:rsidRPr="006C494A" w:rsidRDefault="006C494A" w:rsidP="006C494A">
            <w:pPr>
              <w:rPr>
                <w:b/>
                <w:bCs/>
                <w:color w:val="000000"/>
                <w:lang w:eastAsia="lv-LV"/>
              </w:rPr>
            </w:pPr>
            <w:r w:rsidRPr="006C494A">
              <w:rPr>
                <w:b/>
                <w:bCs/>
                <w:color w:val="000000"/>
                <w:lang w:eastAsia="lv-LV"/>
              </w:rPr>
              <w:t xml:space="preserve">Nr. p.k. </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Pretendenta nosaukums</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Pretendenta piedāvātā līgumcena EUR, bez PVN</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1</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SIA SCB</w:t>
            </w:r>
            <w:r w:rsidRPr="0071671A">
              <w:rPr>
                <w:rFonts w:ascii="Times New Roman Bold" w:hAnsi="Times New Roman Bold"/>
                <w:b/>
                <w:bCs/>
                <w:caps/>
                <w:color w:val="000000"/>
                <w:lang w:eastAsia="lv-LV"/>
              </w:rPr>
              <w:t xml:space="preserve"> Energo</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69 400.01</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2</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SIA Ed</w:t>
            </w:r>
            <w:r>
              <w:rPr>
                <w:b/>
                <w:bCs/>
                <w:color w:val="000000"/>
                <w:lang w:eastAsia="lv-LV"/>
              </w:rPr>
              <w:t>A</w:t>
            </w:r>
            <w:r w:rsidRPr="0071671A">
              <w:rPr>
                <w:b/>
                <w:bCs/>
                <w:color w:val="000000"/>
                <w:lang w:eastAsia="lv-LV"/>
              </w:rPr>
              <w:t xml:space="preserve">n </w:t>
            </w:r>
            <w:r w:rsidRPr="0071671A">
              <w:rPr>
                <w:rFonts w:ascii="Times New Roman Bold" w:hAnsi="Times New Roman Bold"/>
                <w:b/>
                <w:bCs/>
                <w:caps/>
                <w:color w:val="000000"/>
                <w:lang w:eastAsia="lv-LV"/>
              </w:rPr>
              <w:t>Elektro</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61 600.39</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3</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SIA Eltel Networks</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54 477.69</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4</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Pr>
                <w:b/>
                <w:bCs/>
                <w:color w:val="000000"/>
                <w:lang w:eastAsia="lv-LV"/>
              </w:rPr>
              <w:t xml:space="preserve">SIA </w:t>
            </w:r>
            <w:r w:rsidRPr="00594F29">
              <w:rPr>
                <w:rFonts w:ascii="Times New Roman Bold" w:hAnsi="Times New Roman Bold"/>
                <w:b/>
                <w:bCs/>
                <w:caps/>
                <w:color w:val="000000"/>
                <w:lang w:eastAsia="lv-LV"/>
              </w:rPr>
              <w:t>En</w:t>
            </w:r>
            <w:r w:rsidRPr="0071671A">
              <w:rPr>
                <w:rFonts w:ascii="Times New Roman Bold" w:hAnsi="Times New Roman Bold"/>
                <w:b/>
                <w:bCs/>
                <w:caps/>
                <w:color w:val="000000"/>
                <w:lang w:eastAsia="lv-LV"/>
              </w:rPr>
              <w:t>ergoremonts Rīga</w:t>
            </w:r>
          </w:p>
        </w:tc>
        <w:tc>
          <w:tcPr>
            <w:tcW w:w="3402" w:type="dxa"/>
            <w:tcBorders>
              <w:top w:val="nil"/>
              <w:left w:val="nil"/>
              <w:bottom w:val="single" w:sz="4" w:space="0" w:color="auto"/>
              <w:right w:val="single" w:sz="4" w:space="0" w:color="auto"/>
            </w:tcBorders>
            <w:shd w:val="clear" w:color="000000" w:fill="FFFFFF"/>
            <w:vAlign w:val="center"/>
            <w:hideMark/>
          </w:tcPr>
          <w:p w:rsidR="006C494A" w:rsidRPr="0071671A" w:rsidRDefault="006C494A" w:rsidP="006C494A">
            <w:pPr>
              <w:jc w:val="center"/>
              <w:rPr>
                <w:color w:val="000000"/>
                <w:lang w:eastAsia="lv-LV"/>
              </w:rPr>
            </w:pPr>
            <w:r w:rsidRPr="0071671A">
              <w:rPr>
                <w:color w:val="000000"/>
                <w:lang w:eastAsia="lv-LV"/>
              </w:rPr>
              <w:t>74 974.54</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5</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SIA TSF D</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65 696.78</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6</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 xml:space="preserve">SIA </w:t>
            </w:r>
            <w:r w:rsidRPr="0071671A">
              <w:rPr>
                <w:rFonts w:ascii="Times New Roman Bold" w:hAnsi="Times New Roman Bold"/>
                <w:b/>
                <w:bCs/>
                <w:caps/>
                <w:color w:val="000000"/>
                <w:lang w:eastAsia="lv-LV"/>
              </w:rPr>
              <w:t>Mītavas Elektra</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61 486.06</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7</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 xml:space="preserve">SIA </w:t>
            </w:r>
            <w:r w:rsidRPr="0071671A">
              <w:rPr>
                <w:rFonts w:ascii="Times New Roman Bold" w:hAnsi="Times New Roman Bold"/>
                <w:b/>
                <w:bCs/>
                <w:caps/>
                <w:color w:val="000000"/>
                <w:lang w:eastAsia="lv-LV"/>
              </w:rPr>
              <w:t xml:space="preserve">Elektro </w:t>
            </w:r>
            <w:r w:rsidRPr="0071671A">
              <w:rPr>
                <w:b/>
                <w:bCs/>
                <w:color w:val="000000"/>
                <w:lang w:eastAsia="lv-LV"/>
              </w:rPr>
              <w:t>PM</w:t>
            </w:r>
          </w:p>
        </w:tc>
        <w:tc>
          <w:tcPr>
            <w:tcW w:w="3402" w:type="dxa"/>
            <w:tcBorders>
              <w:top w:val="nil"/>
              <w:left w:val="nil"/>
              <w:bottom w:val="single" w:sz="4" w:space="0" w:color="auto"/>
              <w:right w:val="single" w:sz="4" w:space="0" w:color="auto"/>
            </w:tcBorders>
            <w:shd w:val="clear" w:color="000000" w:fill="FFFFFF"/>
            <w:vAlign w:val="center"/>
            <w:hideMark/>
          </w:tcPr>
          <w:p w:rsidR="006C494A" w:rsidRPr="0071671A" w:rsidRDefault="006C494A" w:rsidP="006C494A">
            <w:pPr>
              <w:jc w:val="center"/>
              <w:rPr>
                <w:color w:val="000000"/>
                <w:lang w:eastAsia="lv-LV"/>
              </w:rPr>
            </w:pPr>
            <w:r w:rsidRPr="0071671A">
              <w:rPr>
                <w:color w:val="000000"/>
                <w:lang w:eastAsia="lv-LV"/>
              </w:rPr>
              <w:t>49 626.22</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8</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 xml:space="preserve">SIA </w:t>
            </w:r>
            <w:r w:rsidRPr="0071671A">
              <w:rPr>
                <w:rFonts w:ascii="Times New Roman Bold" w:hAnsi="Times New Roman Bold"/>
                <w:b/>
                <w:bCs/>
                <w:caps/>
                <w:color w:val="000000"/>
                <w:lang w:eastAsia="lv-LV"/>
              </w:rPr>
              <w:t>Remus Elektro</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55 548.22</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9</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sidRPr="0071671A">
              <w:rPr>
                <w:b/>
                <w:bCs/>
                <w:color w:val="000000"/>
                <w:lang w:eastAsia="lv-LV"/>
              </w:rPr>
              <w:t xml:space="preserve">SIA ECC </w:t>
            </w:r>
            <w:r w:rsidRPr="0071671A">
              <w:rPr>
                <w:rFonts w:ascii="Times New Roman Bold" w:hAnsi="Times New Roman Bold"/>
                <w:b/>
                <w:bCs/>
                <w:caps/>
                <w:color w:val="000000"/>
                <w:lang w:eastAsia="lv-LV"/>
              </w:rPr>
              <w:t>Latvija</w:t>
            </w:r>
          </w:p>
        </w:tc>
        <w:tc>
          <w:tcPr>
            <w:tcW w:w="3402" w:type="dxa"/>
            <w:tcBorders>
              <w:top w:val="nil"/>
              <w:left w:val="nil"/>
              <w:bottom w:val="single" w:sz="4" w:space="0" w:color="auto"/>
              <w:right w:val="single" w:sz="4" w:space="0" w:color="auto"/>
            </w:tcBorders>
            <w:shd w:val="clear" w:color="000000" w:fill="FFFFFF"/>
            <w:vAlign w:val="center"/>
            <w:hideMark/>
          </w:tcPr>
          <w:p w:rsidR="006C494A" w:rsidRPr="0071671A" w:rsidRDefault="006C494A" w:rsidP="006C494A">
            <w:pPr>
              <w:jc w:val="center"/>
              <w:rPr>
                <w:color w:val="000000"/>
                <w:lang w:eastAsia="lv-LV"/>
              </w:rPr>
            </w:pPr>
            <w:r w:rsidRPr="0071671A">
              <w:rPr>
                <w:color w:val="000000"/>
                <w:lang w:eastAsia="lv-LV"/>
              </w:rPr>
              <w:t>61 154.44</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10</w:t>
            </w:r>
          </w:p>
        </w:tc>
        <w:tc>
          <w:tcPr>
            <w:tcW w:w="3685" w:type="dxa"/>
            <w:tcBorders>
              <w:top w:val="nil"/>
              <w:left w:val="nil"/>
              <w:bottom w:val="single" w:sz="4" w:space="0" w:color="auto"/>
              <w:right w:val="single" w:sz="4" w:space="0" w:color="auto"/>
            </w:tcBorders>
            <w:shd w:val="clear" w:color="auto" w:fill="auto"/>
            <w:vAlign w:val="center"/>
            <w:hideMark/>
          </w:tcPr>
          <w:p w:rsidR="006C494A" w:rsidRPr="0071671A" w:rsidRDefault="006C494A" w:rsidP="006C494A">
            <w:pPr>
              <w:jc w:val="center"/>
              <w:rPr>
                <w:b/>
                <w:bCs/>
                <w:color w:val="000000"/>
                <w:lang w:eastAsia="lv-LV"/>
              </w:rPr>
            </w:pPr>
            <w:r>
              <w:rPr>
                <w:b/>
                <w:bCs/>
                <w:color w:val="000000"/>
                <w:lang w:eastAsia="lv-LV"/>
              </w:rPr>
              <w:t>Emp</w:t>
            </w:r>
            <w:r w:rsidRPr="0071671A">
              <w:rPr>
                <w:b/>
                <w:bCs/>
                <w:color w:val="000000"/>
                <w:lang w:eastAsia="lv-LV"/>
              </w:rPr>
              <w:t>ower AS filiāle Latvijā</w:t>
            </w:r>
          </w:p>
        </w:tc>
        <w:tc>
          <w:tcPr>
            <w:tcW w:w="3402" w:type="dxa"/>
            <w:tcBorders>
              <w:top w:val="nil"/>
              <w:left w:val="nil"/>
              <w:bottom w:val="single" w:sz="4" w:space="0" w:color="auto"/>
              <w:right w:val="single" w:sz="4" w:space="0" w:color="auto"/>
            </w:tcBorders>
            <w:shd w:val="clear" w:color="000000" w:fill="FFFFFF"/>
            <w:vAlign w:val="center"/>
            <w:hideMark/>
          </w:tcPr>
          <w:p w:rsidR="006C494A" w:rsidRPr="0071671A" w:rsidRDefault="006C494A" w:rsidP="006C494A">
            <w:pPr>
              <w:jc w:val="center"/>
              <w:rPr>
                <w:color w:val="000000"/>
                <w:lang w:eastAsia="lv-LV"/>
              </w:rPr>
            </w:pPr>
            <w:r w:rsidRPr="0071671A">
              <w:rPr>
                <w:color w:val="000000"/>
                <w:lang w:eastAsia="lv-LV"/>
              </w:rPr>
              <w:t>74 114.73</w:t>
            </w:r>
          </w:p>
        </w:tc>
      </w:tr>
      <w:tr w:rsidR="006C494A" w:rsidRPr="0071671A" w:rsidTr="006C494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6C494A" w:rsidRPr="0071671A" w:rsidRDefault="006C494A" w:rsidP="006C494A">
            <w:pPr>
              <w:jc w:val="center"/>
              <w:rPr>
                <w:color w:val="000000"/>
                <w:lang w:eastAsia="lv-LV"/>
              </w:rPr>
            </w:pPr>
            <w:r w:rsidRPr="0071671A">
              <w:rPr>
                <w:color w:val="000000"/>
                <w:lang w:eastAsia="lv-LV"/>
              </w:rPr>
              <w:t>11</w:t>
            </w:r>
          </w:p>
        </w:tc>
        <w:tc>
          <w:tcPr>
            <w:tcW w:w="3685" w:type="dxa"/>
            <w:tcBorders>
              <w:top w:val="nil"/>
              <w:left w:val="nil"/>
              <w:bottom w:val="single" w:sz="4" w:space="0" w:color="auto"/>
              <w:right w:val="single" w:sz="4" w:space="0" w:color="auto"/>
            </w:tcBorders>
            <w:shd w:val="clear" w:color="auto" w:fill="auto"/>
            <w:noWrap/>
            <w:vAlign w:val="center"/>
            <w:hideMark/>
          </w:tcPr>
          <w:p w:rsidR="006C494A" w:rsidRPr="0071671A" w:rsidRDefault="006C494A" w:rsidP="006C494A">
            <w:pPr>
              <w:jc w:val="center"/>
              <w:rPr>
                <w:b/>
                <w:bCs/>
                <w:color w:val="000000"/>
                <w:lang w:eastAsia="lv-LV"/>
              </w:rPr>
            </w:pPr>
            <w:r w:rsidRPr="0071671A">
              <w:rPr>
                <w:b/>
                <w:bCs/>
                <w:color w:val="000000"/>
                <w:lang w:eastAsia="lv-LV"/>
              </w:rPr>
              <w:t>SIA Reck</w:t>
            </w:r>
          </w:p>
        </w:tc>
        <w:tc>
          <w:tcPr>
            <w:tcW w:w="3402" w:type="dxa"/>
            <w:tcBorders>
              <w:top w:val="nil"/>
              <w:left w:val="nil"/>
              <w:bottom w:val="single" w:sz="4" w:space="0" w:color="auto"/>
              <w:right w:val="single" w:sz="4" w:space="0" w:color="auto"/>
            </w:tcBorders>
            <w:shd w:val="clear" w:color="000000" w:fill="FFFFFF"/>
            <w:noWrap/>
            <w:vAlign w:val="center"/>
            <w:hideMark/>
          </w:tcPr>
          <w:p w:rsidR="006C494A" w:rsidRPr="0071671A" w:rsidRDefault="006C494A" w:rsidP="006C494A">
            <w:pPr>
              <w:jc w:val="center"/>
              <w:rPr>
                <w:color w:val="000000"/>
                <w:lang w:eastAsia="lv-LV"/>
              </w:rPr>
            </w:pPr>
            <w:r w:rsidRPr="0071671A">
              <w:rPr>
                <w:color w:val="000000"/>
                <w:lang w:eastAsia="lv-LV"/>
              </w:rPr>
              <w:t>103 814.89</w:t>
            </w:r>
          </w:p>
        </w:tc>
      </w:tr>
    </w:tbl>
    <w:p w:rsidR="006C494A" w:rsidRDefault="006C494A" w:rsidP="006C494A">
      <w:pPr>
        <w:pStyle w:val="ListParagraph"/>
        <w:numPr>
          <w:ilvl w:val="0"/>
          <w:numId w:val="2"/>
        </w:numPr>
        <w:spacing w:beforeLines="100" w:before="240" w:afterLines="100" w:after="240"/>
        <w:ind w:left="714" w:hanging="357"/>
        <w:contextualSpacing w:val="0"/>
        <w:rPr>
          <w:b/>
          <w:sz w:val="23"/>
          <w:szCs w:val="23"/>
          <w:lang w:val="lv-LV"/>
        </w:rPr>
      </w:pPr>
      <w:r w:rsidRPr="00242396">
        <w:rPr>
          <w:b/>
          <w:sz w:val="23"/>
          <w:szCs w:val="23"/>
          <w:lang w:val="lv-LV"/>
        </w:rPr>
        <w:t xml:space="preserve">Noraidītie pretendenti un to noraidīšanas iemesli: </w:t>
      </w:r>
    </w:p>
    <w:p w:rsidR="006C494A" w:rsidRPr="00020713" w:rsidRDefault="006C494A" w:rsidP="006C494A">
      <w:pPr>
        <w:pStyle w:val="ListParagraph"/>
        <w:numPr>
          <w:ilvl w:val="0"/>
          <w:numId w:val="6"/>
        </w:numPr>
        <w:jc w:val="both"/>
        <w:rPr>
          <w:color w:val="000000"/>
          <w:lang w:val="lv-LV"/>
        </w:rPr>
      </w:pPr>
      <w:r w:rsidRPr="00020713">
        <w:rPr>
          <w:rFonts w:eastAsia="Calibri"/>
          <w:color w:val="000000"/>
          <w:lang w:val="lv-LV"/>
        </w:rPr>
        <w:t xml:space="preserve">Pretendents </w:t>
      </w:r>
      <w:r w:rsidRPr="00020713">
        <w:rPr>
          <w:b/>
          <w:lang w:val="lv-LV"/>
        </w:rPr>
        <w:t xml:space="preserve">SIA “SCB ENERGO” tika izslēgts no turpmākās dalības iepirkumā, </w:t>
      </w:r>
      <w:r w:rsidRPr="00020713">
        <w:rPr>
          <w:lang w:val="lv-LV"/>
        </w:rPr>
        <w:t xml:space="preserve">jo piedāvājumā netika iesniegts </w:t>
      </w:r>
      <w:r w:rsidRPr="00020713">
        <w:rPr>
          <w:color w:val="000000"/>
          <w:lang w:val="lv-LV"/>
        </w:rPr>
        <w:t>speciālista (eksperta) vides pārva</w:t>
      </w:r>
      <w:r w:rsidR="00B43B8F">
        <w:rPr>
          <w:color w:val="000000"/>
          <w:lang w:val="lv-LV"/>
        </w:rPr>
        <w:t>ldības pasākumu jautājumos I.</w:t>
      </w:r>
      <w:r w:rsidRPr="00020713">
        <w:rPr>
          <w:color w:val="000000"/>
          <w:lang w:val="lv-LV"/>
        </w:rPr>
        <w:t>G</w:t>
      </w:r>
      <w:r w:rsidR="00B43B8F">
        <w:rPr>
          <w:color w:val="000000"/>
          <w:lang w:val="lv-LV"/>
        </w:rPr>
        <w:t>.</w:t>
      </w:r>
      <w:r w:rsidRPr="00020713">
        <w:rPr>
          <w:color w:val="000000"/>
          <w:lang w:val="lv-LV"/>
        </w:rPr>
        <w:t xml:space="preserve"> atbilstības sertifikāts vai cita apmācību dokumenta kopija, attiecīgi pretendents netika izpildījis nolikuma 4.3.5.punkta prasības.</w:t>
      </w:r>
    </w:p>
    <w:p w:rsidR="00020713" w:rsidRPr="00020713" w:rsidRDefault="00020713" w:rsidP="00020713">
      <w:pPr>
        <w:pStyle w:val="ListParagraph"/>
        <w:jc w:val="both"/>
        <w:rPr>
          <w:color w:val="000000"/>
          <w:lang w:val="lv-LV"/>
        </w:rPr>
      </w:pPr>
    </w:p>
    <w:p w:rsidR="006C494A" w:rsidRPr="006C494A" w:rsidRDefault="006C494A" w:rsidP="006C494A">
      <w:pPr>
        <w:pStyle w:val="ListParagraph"/>
        <w:numPr>
          <w:ilvl w:val="0"/>
          <w:numId w:val="6"/>
        </w:numPr>
        <w:spacing w:before="120"/>
        <w:jc w:val="both"/>
        <w:rPr>
          <w:lang w:val="lv-LV" w:eastAsia="zh-CN"/>
        </w:rPr>
      </w:pPr>
      <w:r w:rsidRPr="006C494A">
        <w:rPr>
          <w:rFonts w:eastAsia="Calibri"/>
          <w:color w:val="000000"/>
          <w:lang w:val="lv-LV"/>
        </w:rPr>
        <w:t xml:space="preserve">Pretendents </w:t>
      </w:r>
      <w:r w:rsidRPr="006C494A">
        <w:rPr>
          <w:rFonts w:eastAsia="Calibri"/>
          <w:b/>
          <w:lang w:val="lv-LV"/>
        </w:rPr>
        <w:t xml:space="preserve">SIA „EdAn ELEKTRO” </w:t>
      </w:r>
      <w:r w:rsidRPr="006C494A">
        <w:rPr>
          <w:b/>
          <w:lang w:val="lv-LV" w:eastAsia="zh-CN"/>
        </w:rPr>
        <w:t xml:space="preserve">tika izslēgts no turpmākās dalības iepirkumā, </w:t>
      </w:r>
      <w:r w:rsidRPr="006C494A">
        <w:rPr>
          <w:lang w:val="lv-LV" w:eastAsia="zh-CN"/>
        </w:rPr>
        <w:t xml:space="preserve">jo: </w:t>
      </w:r>
    </w:p>
    <w:p w:rsidR="006C494A" w:rsidRPr="006C494A" w:rsidRDefault="006C494A" w:rsidP="006C494A">
      <w:pPr>
        <w:numPr>
          <w:ilvl w:val="0"/>
          <w:numId w:val="4"/>
        </w:numPr>
        <w:suppressAutoHyphens/>
        <w:ind w:left="993" w:hanging="284"/>
        <w:jc w:val="both"/>
        <w:rPr>
          <w:color w:val="000000"/>
          <w:lang w:val="ru-RU" w:eastAsia="zh-CN"/>
        </w:rPr>
      </w:pPr>
      <w:r w:rsidRPr="006C494A">
        <w:rPr>
          <w:color w:val="000000"/>
          <w:lang w:val="lv-LV" w:eastAsia="zh-CN"/>
        </w:rPr>
        <w:t>i</w:t>
      </w:r>
      <w:r w:rsidRPr="006C494A">
        <w:rPr>
          <w:color w:val="000000"/>
          <w:lang w:val="ru-RU" w:eastAsia="zh-CN"/>
        </w:rPr>
        <w:t xml:space="preserve">esniegtajā atsauksmē </w:t>
      </w:r>
      <w:r w:rsidRPr="006C494A">
        <w:rPr>
          <w:color w:val="000000"/>
          <w:lang w:val="lv-LV" w:eastAsia="zh-CN"/>
        </w:rPr>
        <w:t>par atbildīgā būvdarbu vadītāja pieredzi netika</w:t>
      </w:r>
      <w:r w:rsidRPr="006C494A">
        <w:rPr>
          <w:color w:val="000000"/>
          <w:lang w:val="ru-RU" w:eastAsia="zh-CN"/>
        </w:rPr>
        <w:t xml:space="preserve"> ietverta nolikuma 4.3.4. punktā pieprasītā informācija, attiecīgi </w:t>
      </w:r>
      <w:r w:rsidRPr="006C494A">
        <w:rPr>
          <w:color w:val="000000"/>
          <w:lang w:val="lv-LV" w:eastAsia="zh-CN"/>
        </w:rPr>
        <w:t>nebija</w:t>
      </w:r>
      <w:r w:rsidRPr="006C494A">
        <w:rPr>
          <w:color w:val="000000"/>
          <w:lang w:val="ru-RU" w:eastAsia="zh-CN"/>
        </w:rPr>
        <w:t xml:space="preserve"> identificējams, vai piedāvātais atbildīgais būvdarbu vadītājs ir piedalījies būvdarbu vadīšanā konkrētajā objektā</w:t>
      </w:r>
      <w:r w:rsidR="00B43B8F">
        <w:rPr>
          <w:color w:val="000000"/>
          <w:lang w:val="lv-LV" w:eastAsia="zh-CN"/>
        </w:rPr>
        <w:t xml:space="preserve"> -</w:t>
      </w:r>
      <w:r w:rsidRPr="006C494A">
        <w:rPr>
          <w:color w:val="000000"/>
          <w:lang w:val="ru-RU" w:eastAsia="zh-CN"/>
        </w:rPr>
        <w:t xml:space="preserve"> </w:t>
      </w:r>
      <w:r w:rsidRPr="006C494A">
        <w:rPr>
          <w:color w:val="000000"/>
          <w:lang w:val="lv-LV" w:eastAsia="zh-CN"/>
        </w:rPr>
        <w:t>pretendents netika izpildījis</w:t>
      </w:r>
      <w:r w:rsidRPr="006C494A">
        <w:rPr>
          <w:color w:val="000000"/>
          <w:lang w:val="ru-RU" w:eastAsia="zh-CN"/>
        </w:rPr>
        <w:t xml:space="preserve"> nolikuma 4.3.4.punkta prasības</w:t>
      </w:r>
      <w:r w:rsidRPr="006C494A">
        <w:rPr>
          <w:color w:val="000000"/>
          <w:lang w:val="lv-LV" w:eastAsia="zh-CN"/>
        </w:rPr>
        <w:t>;</w:t>
      </w:r>
      <w:r w:rsidRPr="006C494A">
        <w:rPr>
          <w:color w:val="000000"/>
          <w:lang w:val="ru-RU" w:eastAsia="zh-CN"/>
        </w:rPr>
        <w:t xml:space="preserve"> </w:t>
      </w:r>
    </w:p>
    <w:p w:rsidR="006C494A" w:rsidRPr="006C494A" w:rsidRDefault="006C494A" w:rsidP="006C494A">
      <w:pPr>
        <w:numPr>
          <w:ilvl w:val="0"/>
          <w:numId w:val="4"/>
        </w:numPr>
        <w:suppressAutoHyphens/>
        <w:ind w:left="993" w:hanging="284"/>
        <w:jc w:val="both"/>
        <w:rPr>
          <w:color w:val="000000"/>
          <w:lang w:val="lv-LV" w:eastAsia="zh-CN"/>
        </w:rPr>
      </w:pPr>
      <w:r w:rsidRPr="006C494A">
        <w:rPr>
          <w:color w:val="000000"/>
          <w:lang w:val="lv-LV" w:eastAsia="zh-CN"/>
        </w:rPr>
        <w:t>netika</w:t>
      </w:r>
      <w:r w:rsidRPr="006C494A">
        <w:rPr>
          <w:color w:val="000000"/>
          <w:lang w:val="ru-RU" w:eastAsia="zh-CN"/>
        </w:rPr>
        <w:t xml:space="preserve"> iesniegti atbildīgo speciālistu</w:t>
      </w:r>
      <w:r w:rsidRPr="006C494A">
        <w:rPr>
          <w:color w:val="000000"/>
          <w:lang w:val="lv-LV" w:eastAsia="zh-CN"/>
        </w:rPr>
        <w:t xml:space="preserve"> (</w:t>
      </w:r>
      <w:r w:rsidRPr="006C494A">
        <w:rPr>
          <w:bCs/>
          <w:color w:val="000000"/>
          <w:lang w:val="lv-LV" w:eastAsia="lv-LV"/>
        </w:rPr>
        <w:t>speciālists (eksperts) vides pārvaldības pasākumu jautājumos un darba aizsardzības speciālists</w:t>
      </w:r>
      <w:r w:rsidRPr="006C494A">
        <w:rPr>
          <w:color w:val="000000"/>
          <w:lang w:val="lv-LV" w:eastAsia="lv-LV"/>
        </w:rPr>
        <w:t xml:space="preserve">) </w:t>
      </w:r>
      <w:r w:rsidRPr="006C494A">
        <w:rPr>
          <w:color w:val="000000"/>
          <w:lang w:val="lv-LV" w:eastAsia="zh-CN"/>
        </w:rPr>
        <w:t>CV, attiecīgi netika izpildītas nolikuma 4.3.5.punkta prasības;</w:t>
      </w:r>
    </w:p>
    <w:p w:rsidR="006C494A" w:rsidRPr="00020713" w:rsidRDefault="006C494A" w:rsidP="006C494A">
      <w:pPr>
        <w:numPr>
          <w:ilvl w:val="0"/>
          <w:numId w:val="4"/>
        </w:numPr>
        <w:suppressAutoHyphens/>
        <w:ind w:left="993" w:hanging="284"/>
        <w:jc w:val="both"/>
        <w:rPr>
          <w:color w:val="000000"/>
          <w:lang w:val="ru-RU" w:eastAsia="zh-CN"/>
        </w:rPr>
      </w:pPr>
      <w:r w:rsidRPr="006C494A">
        <w:rPr>
          <w:color w:val="000000"/>
          <w:lang w:val="lv-LV" w:eastAsia="zh-CN"/>
        </w:rPr>
        <w:t>netika iesniegts  speciālista (eksperta) vides pārvaldība</w:t>
      </w:r>
      <w:r w:rsidR="00B43B8F">
        <w:rPr>
          <w:color w:val="000000"/>
          <w:lang w:val="lv-LV" w:eastAsia="zh-CN"/>
        </w:rPr>
        <w:t>s pasākumu jautājumos A.B.</w:t>
      </w:r>
      <w:r w:rsidRPr="006C494A">
        <w:rPr>
          <w:color w:val="000000"/>
          <w:lang w:val="lv-LV" w:eastAsia="zh-CN"/>
        </w:rPr>
        <w:t xml:space="preserve"> atbilstības sertifikāts vai cita apmācību dokumenta kopija, attiecīgi netika</w:t>
      </w:r>
      <w:r w:rsidRPr="006C494A">
        <w:rPr>
          <w:color w:val="000000"/>
          <w:lang w:val="ru-RU" w:eastAsia="zh-CN"/>
        </w:rPr>
        <w:t xml:space="preserve"> izpildītas nolikuma 4.3.5.punkta prasības.</w:t>
      </w:r>
    </w:p>
    <w:p w:rsidR="00020713" w:rsidRPr="006C494A" w:rsidRDefault="00020713" w:rsidP="00020713">
      <w:pPr>
        <w:suppressAutoHyphens/>
        <w:ind w:left="993"/>
        <w:jc w:val="both"/>
        <w:rPr>
          <w:color w:val="000000"/>
          <w:lang w:val="ru-RU" w:eastAsia="zh-CN"/>
        </w:rPr>
      </w:pPr>
    </w:p>
    <w:p w:rsidR="006C494A" w:rsidRPr="00020713" w:rsidRDefault="006C494A" w:rsidP="006C494A">
      <w:pPr>
        <w:pStyle w:val="ListParagraph"/>
        <w:numPr>
          <w:ilvl w:val="0"/>
          <w:numId w:val="6"/>
        </w:numPr>
        <w:jc w:val="both"/>
        <w:rPr>
          <w:lang w:val="lv-LV"/>
        </w:rPr>
      </w:pPr>
      <w:r w:rsidRPr="006C494A">
        <w:rPr>
          <w:rFonts w:eastAsia="Calibri"/>
          <w:color w:val="000000"/>
          <w:lang w:val="lv-LV"/>
        </w:rPr>
        <w:t xml:space="preserve">Pretendents </w:t>
      </w:r>
      <w:r w:rsidRPr="006C494A">
        <w:rPr>
          <w:rFonts w:eastAsia="Calibri"/>
          <w:b/>
          <w:lang w:val="lv-LV"/>
        </w:rPr>
        <w:t xml:space="preserve">SIA „Eltel Networks” </w:t>
      </w:r>
      <w:r w:rsidRPr="006C494A">
        <w:rPr>
          <w:b/>
          <w:lang w:val="lv-LV"/>
        </w:rPr>
        <w:t xml:space="preserve">tika izslēgts no turpmākās dalības iepirkumā, </w:t>
      </w:r>
      <w:r w:rsidRPr="006C494A">
        <w:rPr>
          <w:lang w:val="lv-LV"/>
        </w:rPr>
        <w:t>jo p</w:t>
      </w:r>
      <w:r w:rsidRPr="006C494A">
        <w:rPr>
          <w:color w:val="000000"/>
          <w:lang w:val="lv-LV"/>
        </w:rPr>
        <w:t>retendenta</w:t>
      </w:r>
      <w:r w:rsidR="00B43B8F">
        <w:rPr>
          <w:color w:val="000000"/>
          <w:lang w:val="lv-LV"/>
        </w:rPr>
        <w:t xml:space="preserve"> piesiastītā</w:t>
      </w:r>
      <w:r w:rsidRPr="006C494A">
        <w:rPr>
          <w:color w:val="000000"/>
          <w:lang w:val="lv-LV"/>
        </w:rPr>
        <w:t> speciālista (eksperta) vides pārvaldības pasākumu jautājumos N</w:t>
      </w:r>
      <w:r w:rsidR="00B43B8F">
        <w:rPr>
          <w:color w:val="000000"/>
          <w:lang w:val="lv-LV"/>
        </w:rPr>
        <w:t>.</w:t>
      </w:r>
      <w:r w:rsidRPr="006C494A">
        <w:rPr>
          <w:color w:val="000000"/>
          <w:lang w:val="lv-LV"/>
        </w:rPr>
        <w:t>B</w:t>
      </w:r>
      <w:r w:rsidR="00B43B8F">
        <w:rPr>
          <w:color w:val="000000"/>
          <w:lang w:val="lv-LV"/>
        </w:rPr>
        <w:t>.</w:t>
      </w:r>
      <w:r w:rsidRPr="006C494A">
        <w:rPr>
          <w:color w:val="000000"/>
          <w:lang w:val="lv-LV"/>
        </w:rPr>
        <w:t xml:space="preserve"> atbilstības sertifikāti iesniegti angļu valodā, bez tulkojuma latviešu valodā, lai gan nolikuma 5.1. punkts paredz, ka dokumentiem svešvalodā jābūt tulkotiem. No iesniegtajiem dokumentiem nebija iespējams skaidri un nepārprotami identificēt sertifikātu atbilstību, līdz ar to netika izpildītas nolikuma 4.3.5.punkta un 5.1. punkta prasības.</w:t>
      </w:r>
    </w:p>
    <w:p w:rsidR="00020713" w:rsidRPr="006C494A" w:rsidRDefault="00020713" w:rsidP="00020713">
      <w:pPr>
        <w:pStyle w:val="ListParagraph"/>
        <w:jc w:val="both"/>
        <w:rPr>
          <w:lang w:val="lv-LV"/>
        </w:rPr>
      </w:pPr>
    </w:p>
    <w:p w:rsidR="006C494A" w:rsidRPr="006C494A" w:rsidRDefault="006C494A" w:rsidP="006C494A">
      <w:pPr>
        <w:pStyle w:val="ListParagraph"/>
        <w:numPr>
          <w:ilvl w:val="0"/>
          <w:numId w:val="6"/>
        </w:numPr>
        <w:jc w:val="both"/>
        <w:rPr>
          <w:lang w:val="lv-LV" w:eastAsia="zh-CN"/>
        </w:rPr>
      </w:pPr>
      <w:r w:rsidRPr="006C494A">
        <w:rPr>
          <w:rFonts w:eastAsia="Calibri"/>
          <w:color w:val="000000"/>
          <w:lang w:val="lv-LV"/>
        </w:rPr>
        <w:t xml:space="preserve">Pretendents </w:t>
      </w:r>
      <w:r w:rsidRPr="006C494A">
        <w:rPr>
          <w:rFonts w:eastAsia="Calibri"/>
          <w:b/>
          <w:lang w:val="lv-LV"/>
        </w:rPr>
        <w:t xml:space="preserve">SIA „ENERGOREMONTS RĪGA” </w:t>
      </w:r>
      <w:r w:rsidRPr="006C494A">
        <w:rPr>
          <w:b/>
          <w:lang w:val="lv-LV" w:eastAsia="zh-CN"/>
        </w:rPr>
        <w:t xml:space="preserve">tika izslēgts no turpmākās dalības iepirkumā, </w:t>
      </w:r>
      <w:r w:rsidRPr="006C494A">
        <w:rPr>
          <w:lang w:val="lv-LV" w:eastAsia="zh-CN"/>
        </w:rPr>
        <w:t xml:space="preserve">jo: </w:t>
      </w:r>
    </w:p>
    <w:p w:rsidR="006C494A" w:rsidRPr="006C494A" w:rsidRDefault="006C494A" w:rsidP="006C494A">
      <w:pPr>
        <w:numPr>
          <w:ilvl w:val="0"/>
          <w:numId w:val="5"/>
        </w:numPr>
        <w:suppressAutoHyphens/>
        <w:ind w:left="993" w:hanging="284"/>
        <w:jc w:val="both"/>
        <w:rPr>
          <w:color w:val="000000"/>
          <w:lang w:val="lv-LV" w:eastAsia="zh-CN"/>
        </w:rPr>
      </w:pPr>
      <w:r w:rsidRPr="006C494A">
        <w:rPr>
          <w:color w:val="000000"/>
          <w:lang w:val="lv-LV" w:eastAsia="zh-CN"/>
        </w:rPr>
        <w:t>p</w:t>
      </w:r>
      <w:r w:rsidRPr="006C494A">
        <w:rPr>
          <w:color w:val="000000"/>
          <w:lang w:val="ru-RU" w:eastAsia="zh-CN"/>
        </w:rPr>
        <w:t>retendenta pieredze neat</w:t>
      </w:r>
      <w:r w:rsidRPr="006C494A">
        <w:rPr>
          <w:color w:val="000000"/>
          <w:lang w:val="lv-LV" w:eastAsia="zh-CN"/>
        </w:rPr>
        <w:t xml:space="preserve">bilda </w:t>
      </w:r>
      <w:r w:rsidRPr="006C494A">
        <w:rPr>
          <w:color w:val="000000"/>
          <w:lang w:val="ru-RU" w:eastAsia="zh-CN"/>
        </w:rPr>
        <w:t xml:space="preserve">nolikuma 4.3.3.punkta prasībām - pretendentam nav </w:t>
      </w:r>
      <w:r w:rsidRPr="006C494A">
        <w:rPr>
          <w:color w:val="000000"/>
          <w:lang w:val="lv-LV" w:eastAsia="zh-CN"/>
        </w:rPr>
        <w:t>pieredzes ielu vai gājēju ietvju apgaismojuma izbūvē un arī veikto darbu summas nesasniedz 50 % no tā p</w:t>
      </w:r>
      <w:r w:rsidR="0074347D">
        <w:rPr>
          <w:color w:val="000000"/>
          <w:lang w:val="lv-LV" w:eastAsia="zh-CN"/>
        </w:rPr>
        <w:t xml:space="preserve">iedāvātās līgumcenas bez PVN. </w:t>
      </w:r>
      <w:r w:rsidRPr="006C494A">
        <w:rPr>
          <w:color w:val="000000"/>
          <w:lang w:val="lv-LV" w:eastAsia="zh-CN"/>
        </w:rPr>
        <w:t>No apakšuzņēmēja norādītās pieredzes nebija identificējams, ka apakšuzņēmējam būtu pieredze ielu vai gājēju ietvju apgaismojuma izbūvē;</w:t>
      </w:r>
    </w:p>
    <w:p w:rsidR="006C494A" w:rsidRPr="006C494A" w:rsidRDefault="006C494A" w:rsidP="006C494A">
      <w:pPr>
        <w:numPr>
          <w:ilvl w:val="0"/>
          <w:numId w:val="5"/>
        </w:numPr>
        <w:suppressAutoHyphens/>
        <w:ind w:left="993" w:hanging="284"/>
        <w:jc w:val="both"/>
        <w:rPr>
          <w:color w:val="000000"/>
          <w:lang w:val="lv-LV" w:eastAsia="zh-CN"/>
        </w:rPr>
      </w:pPr>
      <w:r w:rsidRPr="006C494A">
        <w:rPr>
          <w:color w:val="000000"/>
          <w:lang w:val="lv-LV" w:eastAsia="zh-CN"/>
        </w:rPr>
        <w:t xml:space="preserve">netika iesniegta atsauksme par būvdarbu vadītāja darba kvalitāti līdzīgu darbu veikšanā, attiecīgi netika izpildītas nolikuma 4.3.4.punkta prasības; </w:t>
      </w:r>
    </w:p>
    <w:p w:rsidR="006C494A" w:rsidRPr="006C494A" w:rsidRDefault="006C494A" w:rsidP="006C494A">
      <w:pPr>
        <w:numPr>
          <w:ilvl w:val="0"/>
          <w:numId w:val="5"/>
        </w:numPr>
        <w:suppressAutoHyphens/>
        <w:ind w:left="993" w:hanging="284"/>
        <w:jc w:val="both"/>
        <w:rPr>
          <w:color w:val="000000"/>
          <w:lang w:val="ru-RU" w:eastAsia="zh-CN"/>
        </w:rPr>
      </w:pPr>
      <w:r w:rsidRPr="006C494A">
        <w:rPr>
          <w:color w:val="000000"/>
          <w:lang w:val="lv-LV" w:eastAsia="zh-CN"/>
        </w:rPr>
        <w:t>pretendenta </w:t>
      </w:r>
      <w:r w:rsidR="00B43B8F">
        <w:rPr>
          <w:color w:val="000000"/>
          <w:lang w:val="lv-LV" w:eastAsia="zh-CN"/>
        </w:rPr>
        <w:t xml:space="preserve">piesaistītā </w:t>
      </w:r>
      <w:r w:rsidRPr="006C494A">
        <w:rPr>
          <w:color w:val="000000"/>
          <w:lang w:val="lv-LV" w:eastAsia="zh-CN"/>
        </w:rPr>
        <w:t>speciālista (eksperta) vides pārvaldības pasākumu jautājumos O</w:t>
      </w:r>
      <w:r w:rsidR="00B43B8F">
        <w:rPr>
          <w:color w:val="000000"/>
          <w:lang w:val="lv-LV" w:eastAsia="zh-CN"/>
        </w:rPr>
        <w:t>.</w:t>
      </w:r>
      <w:r w:rsidRPr="006C494A">
        <w:rPr>
          <w:color w:val="000000"/>
          <w:lang w:val="lv-LV" w:eastAsia="zh-CN"/>
        </w:rPr>
        <w:t>G</w:t>
      </w:r>
      <w:r w:rsidR="00B43B8F">
        <w:rPr>
          <w:color w:val="000000"/>
          <w:lang w:val="lv-LV" w:eastAsia="zh-CN"/>
        </w:rPr>
        <w:t>.</w:t>
      </w:r>
      <w:r w:rsidRPr="006C494A">
        <w:rPr>
          <w:color w:val="000000"/>
          <w:lang w:val="lv-LV" w:eastAsia="zh-CN"/>
        </w:rPr>
        <w:t xml:space="preserve"> atbilstības sertifikāts iesniegts angļu valodā, bez tulkojuma latviešu valodā, lai gan nolikuma 5.1. punkts paredz, ka dokumentiem svešvalodā jābūt tulkotiem, līdz ar to netika</w:t>
      </w:r>
      <w:r w:rsidRPr="006C494A">
        <w:rPr>
          <w:color w:val="000000"/>
          <w:lang w:val="ru-RU" w:eastAsia="zh-CN"/>
        </w:rPr>
        <w:t xml:space="preserve"> izpildītas nolikuma 4.3.5.punkta un 5.1. punkta prasības.</w:t>
      </w:r>
    </w:p>
    <w:p w:rsidR="006C494A" w:rsidRDefault="006C494A" w:rsidP="0074347D">
      <w:pPr>
        <w:pStyle w:val="ListParagraph"/>
        <w:numPr>
          <w:ilvl w:val="0"/>
          <w:numId w:val="6"/>
        </w:numPr>
        <w:spacing w:beforeLines="100" w:before="240" w:afterLines="100" w:after="240"/>
        <w:jc w:val="both"/>
        <w:rPr>
          <w:color w:val="000000"/>
        </w:rPr>
      </w:pPr>
      <w:r w:rsidRPr="006C494A">
        <w:rPr>
          <w:rFonts w:eastAsia="Calibri"/>
          <w:color w:val="000000"/>
          <w:lang w:val="lv-LV"/>
        </w:rPr>
        <w:t xml:space="preserve">Pretendents </w:t>
      </w:r>
      <w:r w:rsidRPr="006C494A">
        <w:rPr>
          <w:rFonts w:eastAsia="Calibri"/>
          <w:b/>
          <w:lang w:val="lv-LV"/>
        </w:rPr>
        <w:t xml:space="preserve">SIA „TSF D” </w:t>
      </w:r>
      <w:r w:rsidRPr="006C494A">
        <w:rPr>
          <w:b/>
          <w:lang w:val="lv-LV"/>
        </w:rPr>
        <w:t xml:space="preserve">tika izslēgts no turpmākās dalības iepirkumā, </w:t>
      </w:r>
      <w:r w:rsidRPr="006C494A">
        <w:rPr>
          <w:lang w:val="lv-LV"/>
        </w:rPr>
        <w:t>jo</w:t>
      </w:r>
      <w:r w:rsidR="0074347D">
        <w:rPr>
          <w:lang w:val="lv-LV"/>
        </w:rPr>
        <w:t xml:space="preserve"> </w:t>
      </w:r>
      <w:r w:rsidRPr="00B43B8F">
        <w:rPr>
          <w:lang w:val="lv-LV"/>
        </w:rPr>
        <w:t xml:space="preserve">netika iesniegts </w:t>
      </w:r>
      <w:r w:rsidRPr="00B43B8F">
        <w:rPr>
          <w:color w:val="000000"/>
          <w:lang w:val="lv-LV"/>
        </w:rPr>
        <w:t>speciālista (eksperta) vides pārvaldības pasākumu jautājumos I</w:t>
      </w:r>
      <w:r w:rsidR="00B43B8F">
        <w:rPr>
          <w:color w:val="000000"/>
          <w:lang w:val="lv-LV"/>
        </w:rPr>
        <w:t>.</w:t>
      </w:r>
      <w:r w:rsidRPr="00B43B8F">
        <w:rPr>
          <w:color w:val="000000"/>
          <w:lang w:val="lv-LV"/>
        </w:rPr>
        <w:t>P</w:t>
      </w:r>
      <w:r w:rsidR="00B43B8F">
        <w:rPr>
          <w:color w:val="000000"/>
          <w:lang w:val="lv-LV"/>
        </w:rPr>
        <w:t>.</w:t>
      </w:r>
      <w:r w:rsidRPr="00B43B8F">
        <w:rPr>
          <w:color w:val="000000"/>
          <w:lang w:val="lv-LV"/>
        </w:rPr>
        <w:t xml:space="preserve"> atbilstības sertifikāts vai cita apmācību dokumenta kopija, attiecīgi netika izpildītas nolikuma 4.3.5.punkta prasības.</w:t>
      </w:r>
    </w:p>
    <w:p w:rsidR="006C494A" w:rsidRPr="006C494A" w:rsidRDefault="006C494A" w:rsidP="0074347D">
      <w:pPr>
        <w:pStyle w:val="ListParagraph"/>
        <w:spacing w:beforeLines="100" w:before="240" w:afterLines="100" w:after="240"/>
        <w:jc w:val="both"/>
        <w:rPr>
          <w:color w:val="000000"/>
        </w:rPr>
      </w:pPr>
    </w:p>
    <w:p w:rsidR="006C494A" w:rsidRPr="006C494A" w:rsidRDefault="006C494A" w:rsidP="006C494A">
      <w:pPr>
        <w:pStyle w:val="ListParagraph"/>
        <w:numPr>
          <w:ilvl w:val="0"/>
          <w:numId w:val="6"/>
        </w:numPr>
        <w:jc w:val="both"/>
        <w:rPr>
          <w:color w:val="000000"/>
          <w:lang w:val="lv-LV" w:eastAsia="zh-CN"/>
        </w:rPr>
      </w:pPr>
      <w:r w:rsidRPr="006C494A">
        <w:rPr>
          <w:rFonts w:eastAsia="Calibri"/>
          <w:color w:val="000000"/>
          <w:lang w:val="lv-LV"/>
        </w:rPr>
        <w:t xml:space="preserve">Pretendents </w:t>
      </w:r>
      <w:r w:rsidRPr="006C494A">
        <w:rPr>
          <w:rFonts w:eastAsia="Calibri"/>
          <w:b/>
          <w:lang w:val="lv-LV"/>
        </w:rPr>
        <w:t xml:space="preserve">SIA „REMUS ELEKTRO” </w:t>
      </w:r>
      <w:r w:rsidRPr="006C494A">
        <w:rPr>
          <w:b/>
          <w:lang w:val="lv-LV" w:eastAsia="zh-CN"/>
        </w:rPr>
        <w:t xml:space="preserve">tika izslēgts no turpmākās dalības iepirkumā, </w:t>
      </w:r>
      <w:r w:rsidRPr="006C494A">
        <w:rPr>
          <w:lang w:val="lv-LV" w:eastAsia="zh-CN"/>
        </w:rPr>
        <w:t xml:space="preserve">jo netika </w:t>
      </w:r>
      <w:r w:rsidRPr="006C494A">
        <w:rPr>
          <w:color w:val="000000"/>
          <w:lang w:val="lv-LV" w:eastAsia="zh-CN"/>
        </w:rPr>
        <w:t>iesniegti atbildīgo speciālistu (</w:t>
      </w:r>
      <w:r w:rsidRPr="006C494A">
        <w:rPr>
          <w:bCs/>
          <w:color w:val="000000"/>
          <w:lang w:val="lv-LV" w:eastAsia="lv-LV"/>
        </w:rPr>
        <w:t>speciālists (eksperts) vides pārvaldības pasākumu jautājumos un darba aizsardzības speciālists</w:t>
      </w:r>
      <w:r w:rsidRPr="006C494A">
        <w:rPr>
          <w:color w:val="000000"/>
          <w:lang w:val="lv-LV" w:eastAsia="lv-LV"/>
        </w:rPr>
        <w:t xml:space="preserve">) </w:t>
      </w:r>
      <w:r w:rsidRPr="006C494A">
        <w:rPr>
          <w:color w:val="000000"/>
          <w:lang w:val="lv-LV" w:eastAsia="zh-CN"/>
        </w:rPr>
        <w:t>CV, attiecīgi netika</w:t>
      </w:r>
      <w:r w:rsidRPr="006C494A">
        <w:rPr>
          <w:color w:val="000000"/>
          <w:lang w:val="ru-RU" w:eastAsia="zh-CN"/>
        </w:rPr>
        <w:t xml:space="preserve"> izpildītas nolikuma 4.3.5.punkta prasības. </w:t>
      </w:r>
    </w:p>
    <w:p w:rsidR="006C494A" w:rsidRPr="006C494A" w:rsidRDefault="006C494A" w:rsidP="006C494A">
      <w:pPr>
        <w:jc w:val="both"/>
        <w:rPr>
          <w:color w:val="000000"/>
          <w:lang w:val="lv-LV" w:eastAsia="zh-CN"/>
        </w:rPr>
      </w:pPr>
    </w:p>
    <w:p w:rsidR="006C494A" w:rsidRPr="006C494A" w:rsidRDefault="006C494A" w:rsidP="006C494A">
      <w:pPr>
        <w:pStyle w:val="ListParagraph"/>
        <w:numPr>
          <w:ilvl w:val="0"/>
          <w:numId w:val="6"/>
        </w:numPr>
        <w:jc w:val="both"/>
        <w:rPr>
          <w:lang w:val="lv-LV" w:eastAsia="zh-CN"/>
        </w:rPr>
      </w:pPr>
      <w:r w:rsidRPr="006C494A">
        <w:rPr>
          <w:rFonts w:eastAsia="Calibri"/>
          <w:color w:val="000000"/>
          <w:lang w:val="lv-LV"/>
        </w:rPr>
        <w:t xml:space="preserve">Pretendents </w:t>
      </w:r>
      <w:r w:rsidRPr="006C494A">
        <w:rPr>
          <w:rFonts w:eastAsia="Calibri"/>
          <w:b/>
          <w:lang w:val="lv-LV"/>
        </w:rPr>
        <w:t xml:space="preserve">SIA „ECC Latvija” </w:t>
      </w:r>
      <w:r w:rsidRPr="006C494A">
        <w:rPr>
          <w:b/>
          <w:lang w:val="lv-LV" w:eastAsia="zh-CN"/>
        </w:rPr>
        <w:t xml:space="preserve">tika izslēgts no turpmākās dalības iepirkumā, </w:t>
      </w:r>
      <w:r w:rsidRPr="006C494A">
        <w:rPr>
          <w:lang w:val="lv-LV" w:eastAsia="zh-CN"/>
        </w:rPr>
        <w:t>jo p</w:t>
      </w:r>
      <w:r w:rsidRPr="006C494A">
        <w:rPr>
          <w:bCs/>
          <w:color w:val="000000"/>
          <w:lang w:val="lv-LV" w:eastAsia="lv-LV"/>
        </w:rPr>
        <w:t>retendents tehniskajā piedāvājumā netika ietvēris būvdarbu organizācijas aprakstu, attiecīgi netika izpildītas nolikuma 4.3.9.punkta prasības.</w:t>
      </w:r>
    </w:p>
    <w:p w:rsidR="006C494A" w:rsidRDefault="006C494A" w:rsidP="006C494A">
      <w:pPr>
        <w:jc w:val="both"/>
        <w:rPr>
          <w:rFonts w:eastAsia="Calibri"/>
          <w:color w:val="000000"/>
          <w:lang w:val="lv-LV"/>
        </w:rPr>
      </w:pPr>
      <w:r w:rsidRPr="006C494A">
        <w:rPr>
          <w:rFonts w:eastAsia="Calibri"/>
          <w:color w:val="000000"/>
          <w:lang w:val="lv-LV"/>
        </w:rPr>
        <w:t xml:space="preserve">      </w:t>
      </w:r>
    </w:p>
    <w:p w:rsidR="006C494A" w:rsidRPr="006C494A" w:rsidRDefault="006C494A" w:rsidP="006C494A">
      <w:pPr>
        <w:pStyle w:val="ListParagraph"/>
        <w:numPr>
          <w:ilvl w:val="0"/>
          <w:numId w:val="6"/>
        </w:numPr>
        <w:jc w:val="both"/>
        <w:rPr>
          <w:lang w:val="lv-LV" w:eastAsia="zh-CN"/>
        </w:rPr>
      </w:pPr>
      <w:r w:rsidRPr="006C494A">
        <w:rPr>
          <w:rFonts w:eastAsia="Calibri"/>
          <w:color w:val="000000"/>
          <w:lang w:val="lv-LV"/>
        </w:rPr>
        <w:t xml:space="preserve">Pretendents </w:t>
      </w:r>
      <w:r w:rsidRPr="006C494A">
        <w:rPr>
          <w:rFonts w:eastAsia="Calibri"/>
          <w:b/>
          <w:lang w:val="lv-LV"/>
        </w:rPr>
        <w:t xml:space="preserve">Empower AS filiāle Latvijā </w:t>
      </w:r>
      <w:r w:rsidRPr="006C494A">
        <w:rPr>
          <w:b/>
          <w:lang w:val="lv-LV" w:eastAsia="zh-CN"/>
        </w:rPr>
        <w:t xml:space="preserve">tika izslēgts no turpmākās dalības iepirkumā, </w:t>
      </w:r>
      <w:r w:rsidRPr="006C494A">
        <w:rPr>
          <w:lang w:val="lv-LV" w:eastAsia="zh-CN"/>
        </w:rPr>
        <w:t xml:space="preserve">jo </w:t>
      </w:r>
      <w:r w:rsidRPr="006C494A">
        <w:rPr>
          <w:bCs/>
          <w:color w:val="000000"/>
          <w:lang w:val="lv-LV" w:eastAsia="lv-LV"/>
        </w:rPr>
        <w:t>pretendenta iesniegtais finanšu piedāvājums netika sagatavots atbilstoši nolikuma prasībām, proti, pretendents finanšu piedāvājumā netika ietvēris šādas būvdarbu saraksta pozīcijas un izmaksas:</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87"/>
        <w:gridCol w:w="1205"/>
        <w:gridCol w:w="862"/>
      </w:tblGrid>
      <w:tr w:rsidR="006C494A" w:rsidRPr="00020713" w:rsidTr="00020713">
        <w:trPr>
          <w:trHeight w:val="255"/>
        </w:trPr>
        <w:tc>
          <w:tcPr>
            <w:tcW w:w="709"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Nr.</w:t>
            </w:r>
          </w:p>
        </w:tc>
        <w:tc>
          <w:tcPr>
            <w:tcW w:w="5587"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Nosaukums</w:t>
            </w:r>
          </w:p>
        </w:tc>
        <w:tc>
          <w:tcPr>
            <w:tcW w:w="1205" w:type="dxa"/>
            <w:shd w:val="clear" w:color="auto" w:fill="auto"/>
            <w:noWrap/>
            <w:vAlign w:val="bottom"/>
            <w:hideMark/>
          </w:tcPr>
          <w:p w:rsidR="006C494A" w:rsidRPr="00020713" w:rsidRDefault="006C494A" w:rsidP="006C494A">
            <w:pPr>
              <w:jc w:val="center"/>
              <w:rPr>
                <w:b/>
                <w:bCs/>
                <w:sz w:val="20"/>
                <w:szCs w:val="20"/>
                <w:lang w:val="lv-LV"/>
              </w:rPr>
            </w:pPr>
            <w:r w:rsidRPr="00020713">
              <w:rPr>
                <w:b/>
                <w:bCs/>
                <w:sz w:val="20"/>
                <w:szCs w:val="20"/>
                <w:lang w:val="lv-LV"/>
              </w:rPr>
              <w:t>Mērvienība</w:t>
            </w:r>
          </w:p>
        </w:tc>
        <w:tc>
          <w:tcPr>
            <w:tcW w:w="862"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Skaits</w:t>
            </w:r>
          </w:p>
        </w:tc>
      </w:tr>
      <w:tr w:rsidR="006C494A" w:rsidRPr="00020713" w:rsidTr="00020713">
        <w:trPr>
          <w:trHeight w:val="255"/>
        </w:trPr>
        <w:tc>
          <w:tcPr>
            <w:tcW w:w="709"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1</w:t>
            </w:r>
          </w:p>
        </w:tc>
        <w:tc>
          <w:tcPr>
            <w:tcW w:w="5587"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2</w:t>
            </w:r>
          </w:p>
        </w:tc>
        <w:tc>
          <w:tcPr>
            <w:tcW w:w="1205" w:type="dxa"/>
            <w:shd w:val="clear" w:color="auto" w:fill="auto"/>
            <w:noWrap/>
            <w:vAlign w:val="bottom"/>
            <w:hideMark/>
          </w:tcPr>
          <w:p w:rsidR="006C494A" w:rsidRPr="00020713" w:rsidRDefault="006C494A" w:rsidP="006C494A">
            <w:pPr>
              <w:jc w:val="center"/>
              <w:rPr>
                <w:b/>
                <w:bCs/>
                <w:sz w:val="20"/>
                <w:szCs w:val="20"/>
                <w:lang w:val="lv-LV"/>
              </w:rPr>
            </w:pPr>
            <w:r w:rsidRPr="00020713">
              <w:rPr>
                <w:b/>
                <w:bCs/>
                <w:sz w:val="20"/>
                <w:szCs w:val="20"/>
                <w:lang w:val="lv-LV"/>
              </w:rPr>
              <w:t>3</w:t>
            </w:r>
          </w:p>
        </w:tc>
        <w:tc>
          <w:tcPr>
            <w:tcW w:w="862" w:type="dxa"/>
            <w:shd w:val="clear" w:color="FFFFCC" w:fill="FFFFFF"/>
            <w:noWrap/>
            <w:vAlign w:val="bottom"/>
            <w:hideMark/>
          </w:tcPr>
          <w:p w:rsidR="006C494A" w:rsidRPr="00020713" w:rsidRDefault="006C494A" w:rsidP="006C494A">
            <w:pPr>
              <w:jc w:val="center"/>
              <w:rPr>
                <w:b/>
                <w:bCs/>
                <w:sz w:val="20"/>
                <w:szCs w:val="20"/>
                <w:lang w:val="lv-LV"/>
              </w:rPr>
            </w:pPr>
            <w:r w:rsidRPr="00020713">
              <w:rPr>
                <w:b/>
                <w:bCs/>
                <w:sz w:val="20"/>
                <w:szCs w:val="20"/>
                <w:lang w:val="lv-LV"/>
              </w:rPr>
              <w:t>4</w:t>
            </w:r>
          </w:p>
        </w:tc>
      </w:tr>
      <w:tr w:rsidR="006C494A" w:rsidRPr="00020713" w:rsidTr="00020713">
        <w:trPr>
          <w:trHeight w:val="255"/>
        </w:trPr>
        <w:tc>
          <w:tcPr>
            <w:tcW w:w="709" w:type="dxa"/>
            <w:shd w:val="clear" w:color="auto" w:fill="auto"/>
            <w:noWrap/>
            <w:vAlign w:val="bottom"/>
            <w:hideMark/>
          </w:tcPr>
          <w:p w:rsidR="006C494A" w:rsidRPr="00020713" w:rsidRDefault="006C494A" w:rsidP="006C494A">
            <w:pPr>
              <w:jc w:val="both"/>
              <w:rPr>
                <w:b/>
                <w:bCs/>
                <w:sz w:val="20"/>
                <w:szCs w:val="20"/>
                <w:lang w:val="lv-LV"/>
              </w:rPr>
            </w:pPr>
            <w:r w:rsidRPr="00020713">
              <w:rPr>
                <w:b/>
                <w:bCs/>
                <w:sz w:val="20"/>
                <w:szCs w:val="20"/>
                <w:lang w:val="lv-LV"/>
              </w:rPr>
              <w:t>I</w:t>
            </w:r>
          </w:p>
        </w:tc>
        <w:tc>
          <w:tcPr>
            <w:tcW w:w="5587" w:type="dxa"/>
            <w:shd w:val="clear" w:color="auto" w:fill="auto"/>
            <w:hideMark/>
          </w:tcPr>
          <w:p w:rsidR="006C494A" w:rsidRPr="00020713" w:rsidRDefault="006C494A" w:rsidP="006C494A">
            <w:pPr>
              <w:jc w:val="both"/>
              <w:rPr>
                <w:b/>
                <w:bCs/>
                <w:sz w:val="20"/>
                <w:szCs w:val="20"/>
                <w:lang w:val="lv-LV"/>
              </w:rPr>
            </w:pPr>
            <w:r w:rsidRPr="00020713">
              <w:rPr>
                <w:b/>
                <w:bCs/>
                <w:sz w:val="20"/>
                <w:szCs w:val="20"/>
                <w:lang w:val="lv-LV"/>
              </w:rPr>
              <w:t>Darbu izmaksas</w:t>
            </w:r>
          </w:p>
        </w:tc>
        <w:tc>
          <w:tcPr>
            <w:tcW w:w="1205"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 </w:t>
            </w:r>
          </w:p>
        </w:tc>
        <w:tc>
          <w:tcPr>
            <w:tcW w:w="862"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 </w:t>
            </w:r>
          </w:p>
        </w:tc>
      </w:tr>
      <w:tr w:rsidR="006C494A" w:rsidRPr="00020713" w:rsidTr="00020713">
        <w:trPr>
          <w:trHeight w:val="255"/>
        </w:trPr>
        <w:tc>
          <w:tcPr>
            <w:tcW w:w="709" w:type="dxa"/>
            <w:shd w:val="clear" w:color="auto" w:fill="auto"/>
            <w:noWrap/>
            <w:vAlign w:val="bottom"/>
            <w:hideMark/>
          </w:tcPr>
          <w:p w:rsidR="006C494A" w:rsidRPr="00020713" w:rsidRDefault="006C494A" w:rsidP="006C494A">
            <w:pPr>
              <w:jc w:val="both"/>
              <w:rPr>
                <w:b/>
                <w:bCs/>
                <w:sz w:val="20"/>
                <w:szCs w:val="20"/>
                <w:lang w:val="lv-LV"/>
              </w:rPr>
            </w:pPr>
            <w:r w:rsidRPr="00020713">
              <w:rPr>
                <w:b/>
                <w:bCs/>
                <w:sz w:val="20"/>
                <w:szCs w:val="20"/>
                <w:lang w:val="lv-LV"/>
              </w:rPr>
              <w:t> </w:t>
            </w:r>
          </w:p>
        </w:tc>
        <w:tc>
          <w:tcPr>
            <w:tcW w:w="5587" w:type="dxa"/>
            <w:shd w:val="clear" w:color="auto" w:fill="auto"/>
            <w:vAlign w:val="center"/>
            <w:hideMark/>
          </w:tcPr>
          <w:p w:rsidR="006C494A" w:rsidRPr="00020713" w:rsidRDefault="006C494A" w:rsidP="006C494A">
            <w:pPr>
              <w:jc w:val="both"/>
              <w:rPr>
                <w:sz w:val="20"/>
                <w:szCs w:val="20"/>
                <w:lang w:val="lv-LV"/>
              </w:rPr>
            </w:pPr>
            <w:r w:rsidRPr="00020713">
              <w:rPr>
                <w:sz w:val="20"/>
                <w:szCs w:val="20"/>
                <w:lang w:val="lv-LV"/>
              </w:rPr>
              <w:t>Bedres rakšana un aizbēršana sadalnes pamatam</w:t>
            </w:r>
          </w:p>
        </w:tc>
        <w:tc>
          <w:tcPr>
            <w:tcW w:w="1205"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gab.</w:t>
            </w:r>
          </w:p>
        </w:tc>
        <w:tc>
          <w:tcPr>
            <w:tcW w:w="862"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1</w:t>
            </w:r>
          </w:p>
        </w:tc>
      </w:tr>
      <w:tr w:rsidR="006C494A" w:rsidRPr="00020713" w:rsidTr="00020713">
        <w:trPr>
          <w:trHeight w:val="259"/>
        </w:trPr>
        <w:tc>
          <w:tcPr>
            <w:tcW w:w="709" w:type="dxa"/>
            <w:shd w:val="clear" w:color="FFFFCC" w:fill="FFFFFF"/>
            <w:noWrap/>
            <w:vAlign w:val="bottom"/>
            <w:hideMark/>
          </w:tcPr>
          <w:p w:rsidR="006C494A" w:rsidRPr="00020713" w:rsidRDefault="006C494A" w:rsidP="006C494A">
            <w:pPr>
              <w:jc w:val="both"/>
              <w:rPr>
                <w:sz w:val="20"/>
                <w:szCs w:val="20"/>
                <w:lang w:val="lv-LV"/>
              </w:rPr>
            </w:pPr>
            <w:r w:rsidRPr="00020713">
              <w:rPr>
                <w:sz w:val="20"/>
                <w:szCs w:val="20"/>
                <w:lang w:val="lv-LV"/>
              </w:rPr>
              <w:t> </w:t>
            </w:r>
          </w:p>
        </w:tc>
        <w:tc>
          <w:tcPr>
            <w:tcW w:w="5587" w:type="dxa"/>
            <w:shd w:val="clear" w:color="FFFFCC" w:fill="FFFFFF"/>
            <w:vAlign w:val="center"/>
            <w:hideMark/>
          </w:tcPr>
          <w:p w:rsidR="006C494A" w:rsidRPr="00020713" w:rsidRDefault="006C494A" w:rsidP="006C494A">
            <w:pPr>
              <w:jc w:val="both"/>
              <w:rPr>
                <w:sz w:val="20"/>
                <w:szCs w:val="20"/>
                <w:lang w:val="lv-LV"/>
              </w:rPr>
            </w:pPr>
            <w:r w:rsidRPr="00020713">
              <w:rPr>
                <w:sz w:val="20"/>
                <w:szCs w:val="20"/>
                <w:lang w:val="lv-LV"/>
              </w:rPr>
              <w:t>Sadalnes  uzstādīšana ar svaru līdz 70 kg</w:t>
            </w:r>
          </w:p>
        </w:tc>
        <w:tc>
          <w:tcPr>
            <w:tcW w:w="1205" w:type="dxa"/>
            <w:shd w:val="clear" w:color="FFFFCC" w:fill="FFFFFF"/>
            <w:vAlign w:val="center"/>
            <w:hideMark/>
          </w:tcPr>
          <w:p w:rsidR="006C494A" w:rsidRPr="00020713" w:rsidRDefault="006C494A" w:rsidP="006C494A">
            <w:pPr>
              <w:jc w:val="both"/>
              <w:rPr>
                <w:sz w:val="20"/>
                <w:szCs w:val="20"/>
                <w:lang w:val="lv-LV"/>
              </w:rPr>
            </w:pPr>
            <w:r w:rsidRPr="00020713">
              <w:rPr>
                <w:sz w:val="20"/>
                <w:szCs w:val="20"/>
                <w:lang w:val="lv-LV"/>
              </w:rPr>
              <w:t>gab.</w:t>
            </w:r>
          </w:p>
        </w:tc>
        <w:tc>
          <w:tcPr>
            <w:tcW w:w="862" w:type="dxa"/>
            <w:shd w:val="clear" w:color="FFFFCC" w:fill="FFFFFF"/>
            <w:vAlign w:val="center"/>
            <w:hideMark/>
          </w:tcPr>
          <w:p w:rsidR="006C494A" w:rsidRPr="00020713" w:rsidRDefault="006C494A" w:rsidP="006C494A">
            <w:pPr>
              <w:jc w:val="both"/>
              <w:rPr>
                <w:sz w:val="20"/>
                <w:szCs w:val="20"/>
                <w:lang w:val="lv-LV"/>
              </w:rPr>
            </w:pPr>
            <w:r w:rsidRPr="00020713">
              <w:rPr>
                <w:sz w:val="20"/>
                <w:szCs w:val="20"/>
                <w:lang w:val="lv-LV"/>
              </w:rPr>
              <w:t>2</w:t>
            </w:r>
          </w:p>
        </w:tc>
      </w:tr>
      <w:tr w:rsidR="006C494A" w:rsidRPr="00020713" w:rsidTr="00020713">
        <w:trPr>
          <w:trHeight w:val="259"/>
        </w:trPr>
        <w:tc>
          <w:tcPr>
            <w:tcW w:w="709" w:type="dxa"/>
            <w:shd w:val="clear" w:color="FFFFCC" w:fill="FFFFFF"/>
            <w:noWrap/>
          </w:tcPr>
          <w:p w:rsidR="006C494A" w:rsidRPr="00020713" w:rsidRDefault="006C494A" w:rsidP="006C494A">
            <w:pPr>
              <w:jc w:val="both"/>
              <w:rPr>
                <w:sz w:val="20"/>
                <w:szCs w:val="20"/>
                <w:lang w:val="lv-LV"/>
              </w:rPr>
            </w:pPr>
          </w:p>
        </w:tc>
        <w:tc>
          <w:tcPr>
            <w:tcW w:w="5587" w:type="dxa"/>
            <w:shd w:val="clear" w:color="FFFFCC" w:fill="FFFFFF"/>
          </w:tcPr>
          <w:p w:rsidR="006C494A" w:rsidRPr="00020713" w:rsidRDefault="006C494A" w:rsidP="006C494A">
            <w:pPr>
              <w:jc w:val="both"/>
              <w:rPr>
                <w:sz w:val="20"/>
                <w:szCs w:val="20"/>
                <w:lang w:val="lv-LV"/>
              </w:rPr>
            </w:pPr>
            <w:r w:rsidRPr="00020713">
              <w:rPr>
                <w:sz w:val="20"/>
                <w:szCs w:val="20"/>
                <w:lang w:val="lv-LV"/>
              </w:rPr>
              <w:t>Mehānismu izmaksas</w:t>
            </w:r>
          </w:p>
        </w:tc>
        <w:tc>
          <w:tcPr>
            <w:tcW w:w="1205" w:type="dxa"/>
            <w:shd w:val="clear" w:color="FFFFCC" w:fill="FFFFFF"/>
          </w:tcPr>
          <w:p w:rsidR="006C494A" w:rsidRPr="00020713" w:rsidRDefault="006C494A" w:rsidP="006C494A">
            <w:pPr>
              <w:jc w:val="both"/>
              <w:rPr>
                <w:sz w:val="20"/>
                <w:szCs w:val="20"/>
                <w:lang w:val="lv-LV"/>
              </w:rPr>
            </w:pPr>
            <w:r w:rsidRPr="00020713">
              <w:rPr>
                <w:sz w:val="20"/>
                <w:szCs w:val="20"/>
                <w:lang w:val="lv-LV"/>
              </w:rPr>
              <w:t>st.</w:t>
            </w:r>
          </w:p>
        </w:tc>
        <w:tc>
          <w:tcPr>
            <w:tcW w:w="862" w:type="dxa"/>
            <w:shd w:val="clear" w:color="FFFFCC" w:fill="FFFFFF"/>
          </w:tcPr>
          <w:p w:rsidR="006C494A" w:rsidRPr="00020713" w:rsidRDefault="006C494A" w:rsidP="006C494A">
            <w:pPr>
              <w:jc w:val="both"/>
              <w:rPr>
                <w:sz w:val="20"/>
                <w:szCs w:val="20"/>
                <w:lang w:val="lv-LV"/>
              </w:rPr>
            </w:pPr>
          </w:p>
        </w:tc>
      </w:tr>
      <w:tr w:rsidR="006C494A" w:rsidRPr="00020713" w:rsidTr="00020713">
        <w:trPr>
          <w:trHeight w:val="259"/>
        </w:trPr>
        <w:tc>
          <w:tcPr>
            <w:tcW w:w="709" w:type="dxa"/>
            <w:shd w:val="clear" w:color="FFFFCC" w:fill="FFFFFF"/>
            <w:noWrap/>
            <w:vAlign w:val="bottom"/>
            <w:hideMark/>
          </w:tcPr>
          <w:p w:rsidR="006C494A" w:rsidRPr="00020713" w:rsidRDefault="006C494A" w:rsidP="006C494A">
            <w:pPr>
              <w:jc w:val="both"/>
              <w:rPr>
                <w:b/>
                <w:bCs/>
                <w:sz w:val="20"/>
                <w:szCs w:val="20"/>
                <w:lang w:val="lv-LV"/>
              </w:rPr>
            </w:pPr>
            <w:r w:rsidRPr="00020713">
              <w:rPr>
                <w:b/>
                <w:bCs/>
                <w:sz w:val="20"/>
                <w:szCs w:val="20"/>
                <w:lang w:val="lv-LV"/>
              </w:rPr>
              <w:t>II</w:t>
            </w:r>
          </w:p>
        </w:tc>
        <w:tc>
          <w:tcPr>
            <w:tcW w:w="5587" w:type="dxa"/>
            <w:shd w:val="clear" w:color="FFFFCC" w:fill="FFFFFF"/>
            <w:vAlign w:val="center"/>
            <w:hideMark/>
          </w:tcPr>
          <w:p w:rsidR="006C494A" w:rsidRPr="00020713" w:rsidRDefault="006C494A" w:rsidP="006C494A">
            <w:pPr>
              <w:jc w:val="both"/>
              <w:rPr>
                <w:b/>
                <w:bCs/>
                <w:sz w:val="20"/>
                <w:szCs w:val="20"/>
                <w:lang w:val="lv-LV"/>
              </w:rPr>
            </w:pPr>
            <w:r w:rsidRPr="00020713">
              <w:rPr>
                <w:b/>
                <w:bCs/>
                <w:sz w:val="20"/>
                <w:szCs w:val="20"/>
                <w:lang w:val="lv-LV"/>
              </w:rPr>
              <w:t>Materiālu izmaksas</w:t>
            </w:r>
          </w:p>
        </w:tc>
        <w:tc>
          <w:tcPr>
            <w:tcW w:w="1205" w:type="dxa"/>
            <w:shd w:val="clear" w:color="FFFFCC" w:fill="FFFFFF"/>
            <w:vAlign w:val="center"/>
            <w:hideMark/>
          </w:tcPr>
          <w:p w:rsidR="006C494A" w:rsidRPr="00020713" w:rsidRDefault="006C494A" w:rsidP="006C494A">
            <w:pPr>
              <w:jc w:val="both"/>
              <w:rPr>
                <w:sz w:val="20"/>
                <w:szCs w:val="20"/>
                <w:lang w:val="lv-LV"/>
              </w:rPr>
            </w:pPr>
            <w:r w:rsidRPr="00020713">
              <w:rPr>
                <w:sz w:val="20"/>
                <w:szCs w:val="20"/>
                <w:lang w:val="lv-LV"/>
              </w:rPr>
              <w:t> </w:t>
            </w:r>
          </w:p>
        </w:tc>
        <w:tc>
          <w:tcPr>
            <w:tcW w:w="862" w:type="dxa"/>
            <w:shd w:val="clear" w:color="FFFFCC" w:fill="FFFFFF"/>
            <w:vAlign w:val="center"/>
            <w:hideMark/>
          </w:tcPr>
          <w:p w:rsidR="006C494A" w:rsidRPr="00020713" w:rsidRDefault="006C494A" w:rsidP="006C494A">
            <w:pPr>
              <w:jc w:val="both"/>
              <w:rPr>
                <w:sz w:val="20"/>
                <w:szCs w:val="20"/>
                <w:lang w:val="lv-LV"/>
              </w:rPr>
            </w:pPr>
            <w:r w:rsidRPr="00020713">
              <w:rPr>
                <w:sz w:val="20"/>
                <w:szCs w:val="20"/>
                <w:lang w:val="lv-LV"/>
              </w:rPr>
              <w:t> </w:t>
            </w:r>
          </w:p>
        </w:tc>
      </w:tr>
      <w:tr w:rsidR="006C494A" w:rsidRPr="00020713" w:rsidTr="00020713">
        <w:trPr>
          <w:trHeight w:val="267"/>
        </w:trPr>
        <w:tc>
          <w:tcPr>
            <w:tcW w:w="709" w:type="dxa"/>
            <w:shd w:val="clear" w:color="FFFFCC" w:fill="FFFFFF"/>
            <w:noWrap/>
            <w:vAlign w:val="bottom"/>
            <w:hideMark/>
          </w:tcPr>
          <w:p w:rsidR="006C494A" w:rsidRPr="00020713" w:rsidRDefault="006C494A" w:rsidP="006C494A">
            <w:pPr>
              <w:jc w:val="both"/>
              <w:rPr>
                <w:sz w:val="20"/>
                <w:szCs w:val="20"/>
                <w:lang w:val="lv-LV"/>
              </w:rPr>
            </w:pPr>
            <w:r w:rsidRPr="00020713">
              <w:rPr>
                <w:sz w:val="20"/>
                <w:szCs w:val="20"/>
                <w:lang w:val="lv-LV"/>
              </w:rPr>
              <w:t> </w:t>
            </w:r>
          </w:p>
        </w:tc>
        <w:tc>
          <w:tcPr>
            <w:tcW w:w="5587" w:type="dxa"/>
            <w:shd w:val="clear" w:color="auto" w:fill="auto"/>
            <w:noWrap/>
            <w:vAlign w:val="center"/>
            <w:hideMark/>
          </w:tcPr>
          <w:p w:rsidR="006C494A" w:rsidRPr="00020713" w:rsidRDefault="006C494A" w:rsidP="006C494A">
            <w:pPr>
              <w:jc w:val="both"/>
              <w:rPr>
                <w:sz w:val="20"/>
                <w:szCs w:val="20"/>
                <w:lang w:val="lv-LV"/>
              </w:rPr>
            </w:pPr>
            <w:r w:rsidRPr="00020713">
              <w:rPr>
                <w:sz w:val="20"/>
                <w:szCs w:val="20"/>
                <w:lang w:val="lv-LV"/>
              </w:rPr>
              <w:t>Spēka sadalne S-1, individ. kompl., uz E-N-LU-II bāzes, “Jauda”</w:t>
            </w:r>
          </w:p>
        </w:tc>
        <w:tc>
          <w:tcPr>
            <w:tcW w:w="1205"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kpl</w:t>
            </w:r>
          </w:p>
        </w:tc>
        <w:tc>
          <w:tcPr>
            <w:tcW w:w="862" w:type="dxa"/>
            <w:shd w:val="clear" w:color="auto" w:fill="auto"/>
            <w:noWrap/>
            <w:vAlign w:val="bottom"/>
            <w:hideMark/>
          </w:tcPr>
          <w:p w:rsidR="006C494A" w:rsidRPr="00020713" w:rsidRDefault="006C494A" w:rsidP="006C494A">
            <w:pPr>
              <w:jc w:val="both"/>
              <w:rPr>
                <w:sz w:val="20"/>
                <w:szCs w:val="20"/>
                <w:lang w:val="lv-LV"/>
              </w:rPr>
            </w:pPr>
            <w:r w:rsidRPr="00020713">
              <w:rPr>
                <w:sz w:val="20"/>
                <w:szCs w:val="20"/>
                <w:lang w:val="lv-LV"/>
              </w:rPr>
              <w:t>1</w:t>
            </w:r>
          </w:p>
        </w:tc>
      </w:tr>
    </w:tbl>
    <w:p w:rsidR="006C494A" w:rsidRPr="00242396" w:rsidRDefault="006C494A" w:rsidP="006C494A">
      <w:pPr>
        <w:pStyle w:val="ListParagraph"/>
        <w:numPr>
          <w:ilvl w:val="0"/>
          <w:numId w:val="3"/>
        </w:numPr>
        <w:spacing w:beforeLines="100" w:before="240" w:afterLines="100" w:after="240"/>
        <w:ind w:right="45"/>
        <w:contextualSpacing w:val="0"/>
        <w:jc w:val="both"/>
        <w:rPr>
          <w:b/>
          <w:lang w:val="lv-LV"/>
        </w:rPr>
      </w:pPr>
      <w:r w:rsidRPr="00242396">
        <w:rPr>
          <w:b/>
          <w:lang w:val="lv-LV"/>
        </w:rPr>
        <w:t>Piedāvājumu izvēles un vērtēšanas kritēriji:</w:t>
      </w:r>
    </w:p>
    <w:p w:rsidR="006C494A" w:rsidRDefault="006C494A" w:rsidP="006C494A">
      <w:pPr>
        <w:spacing w:before="120" w:after="120"/>
        <w:ind w:left="709" w:firstLine="11"/>
        <w:jc w:val="both"/>
        <w:rPr>
          <w:lang w:val="lv-LV"/>
        </w:rPr>
      </w:pPr>
      <w:r>
        <w:rPr>
          <w:lang w:val="lv-LV"/>
        </w:rPr>
        <w:t xml:space="preserve">Piedāvājums ar viszemāko cenu. </w:t>
      </w:r>
    </w:p>
    <w:p w:rsidR="006C494A" w:rsidRDefault="006C494A" w:rsidP="006C494A">
      <w:pPr>
        <w:pStyle w:val="ListParagraph"/>
        <w:numPr>
          <w:ilvl w:val="0"/>
          <w:numId w:val="3"/>
        </w:numPr>
        <w:spacing w:before="120" w:after="120"/>
        <w:jc w:val="both"/>
        <w:rPr>
          <w:b/>
          <w:lang w:val="lv-LV"/>
        </w:rPr>
      </w:pPr>
      <w:r w:rsidRPr="006C494A">
        <w:rPr>
          <w:b/>
          <w:lang w:val="lv-LV"/>
        </w:rPr>
        <w:t>Pretendenta nosaukums, ar kuru nolemts slēgt iepirkuma līgumu un pamatojums piedāvājuma izvēlei:</w:t>
      </w:r>
    </w:p>
    <w:p w:rsidR="006C494A" w:rsidRPr="006C494A" w:rsidRDefault="006C494A" w:rsidP="006C494A">
      <w:pPr>
        <w:spacing w:before="120" w:after="120"/>
        <w:ind w:left="360"/>
        <w:jc w:val="both"/>
        <w:rPr>
          <w:rFonts w:eastAsia="Calibri"/>
          <w:b/>
          <w:color w:val="000000"/>
          <w:lang w:val="lv-LV"/>
        </w:rPr>
      </w:pPr>
      <w:r>
        <w:rPr>
          <w:rFonts w:eastAsia="Calibri"/>
          <w:lang w:val="lv-LV"/>
        </w:rPr>
        <w:t>P</w:t>
      </w:r>
      <w:r w:rsidRPr="006C494A">
        <w:rPr>
          <w:rFonts w:eastAsia="Calibri"/>
          <w:lang w:val="lv-LV"/>
        </w:rPr>
        <w:t xml:space="preserve">ar </w:t>
      </w:r>
      <w:r w:rsidRPr="006C494A">
        <w:rPr>
          <w:lang w:val="lv-LV" w:eastAsia="lv-LV"/>
        </w:rPr>
        <w:t>iepirkuma</w:t>
      </w:r>
      <w:r w:rsidRPr="006C494A">
        <w:rPr>
          <w:i/>
          <w:lang w:val="lv-LV" w:eastAsia="lv-LV"/>
        </w:rPr>
        <w:t xml:space="preserve"> „</w:t>
      </w:r>
      <w:r w:rsidRPr="006C494A">
        <w:rPr>
          <w:rFonts w:eastAsia="Calibri"/>
          <w:bCs/>
          <w:i/>
          <w:iCs/>
          <w:bdr w:val="none" w:sz="0" w:space="0" w:color="auto" w:frame="1"/>
          <w:shd w:val="clear" w:color="auto" w:fill="FFFFFF"/>
          <w:lang w:val="lv-LV"/>
        </w:rPr>
        <w:t>Distanču slēpošanas trases un autostāvvietas apgaismojuma izbūve “Dubkalna ezera meži”, Ikšķiles novadā” </w:t>
      </w:r>
      <w:r w:rsidRPr="006C494A">
        <w:rPr>
          <w:rFonts w:eastAsia="Calibri"/>
          <w:i/>
          <w:shd w:val="clear" w:color="auto" w:fill="FFFFFF"/>
          <w:lang w:val="lv-LV"/>
        </w:rPr>
        <w:t>(ID Nr.TSKA „ZILIE KALNI” 2016/1)</w:t>
      </w:r>
      <w:r w:rsidRPr="006C494A">
        <w:rPr>
          <w:rFonts w:eastAsia="Calibri"/>
          <w:lang w:val="lv-LV"/>
        </w:rPr>
        <w:t xml:space="preserve"> uzvarētāju </w:t>
      </w:r>
      <w:r>
        <w:rPr>
          <w:rFonts w:eastAsia="Calibri"/>
          <w:lang w:val="lv-LV"/>
        </w:rPr>
        <w:t xml:space="preserve">ir </w:t>
      </w:r>
      <w:r w:rsidRPr="006C494A">
        <w:rPr>
          <w:rFonts w:eastAsia="Calibri"/>
          <w:lang w:val="lv-LV"/>
        </w:rPr>
        <w:t>atzīt</w:t>
      </w:r>
      <w:r>
        <w:rPr>
          <w:rFonts w:eastAsia="Calibri"/>
          <w:lang w:val="lv-LV"/>
        </w:rPr>
        <w:t>a</w:t>
      </w:r>
      <w:r w:rsidRPr="006C494A">
        <w:rPr>
          <w:rFonts w:eastAsia="Calibri"/>
          <w:lang w:val="lv-LV"/>
        </w:rPr>
        <w:t xml:space="preserve"> </w:t>
      </w:r>
      <w:r w:rsidRPr="006C494A">
        <w:rPr>
          <w:rFonts w:eastAsia="Calibri"/>
          <w:b/>
          <w:lang w:val="lv-LV"/>
        </w:rPr>
        <w:t>SIA „Elektro PM</w:t>
      </w:r>
      <w:r w:rsidRPr="006C494A">
        <w:rPr>
          <w:rFonts w:eastAsia="Calibri"/>
          <w:lang w:val="lv-LV"/>
        </w:rPr>
        <w:t>”, kuras iesniegtais piedāvājums tika atzīts par atbilstošu nolikumā noteiktajām prasībām, un ir ar viszemāko līgumcenu</w:t>
      </w:r>
      <w:r w:rsidR="00020713">
        <w:rPr>
          <w:rFonts w:eastAsia="Calibri"/>
          <w:lang w:val="lv-LV"/>
        </w:rPr>
        <w:t>.</w:t>
      </w:r>
      <w:r w:rsidRPr="006C494A">
        <w:rPr>
          <w:rFonts w:eastAsia="Calibri"/>
          <w:lang w:val="lv-LV"/>
        </w:rPr>
        <w:t xml:space="preserve"> </w:t>
      </w:r>
    </w:p>
    <w:p w:rsidR="006C494A" w:rsidRPr="006C494A" w:rsidRDefault="006C494A" w:rsidP="006C494A">
      <w:pPr>
        <w:spacing w:before="120" w:after="120"/>
        <w:jc w:val="both"/>
        <w:rPr>
          <w:b/>
          <w:lang w:val="lv-LV"/>
        </w:rPr>
      </w:pPr>
    </w:p>
    <w:sectPr w:rsidR="006C494A" w:rsidRPr="006C494A" w:rsidSect="00870940">
      <w:footerReference w:type="default" r:id="rId8"/>
      <w:pgSz w:w="11906" w:h="16838"/>
      <w:pgMar w:top="1440" w:right="1274"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FF3" w:rsidRDefault="00016FF3">
      <w:r>
        <w:separator/>
      </w:r>
    </w:p>
  </w:endnote>
  <w:endnote w:type="continuationSeparator" w:id="0">
    <w:p w:rsidR="00016FF3" w:rsidRDefault="0001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872283"/>
      <w:docPartObj>
        <w:docPartGallery w:val="Page Numbers (Bottom of Page)"/>
        <w:docPartUnique/>
      </w:docPartObj>
    </w:sdtPr>
    <w:sdtEndPr>
      <w:rPr>
        <w:noProof/>
      </w:rPr>
    </w:sdtEndPr>
    <w:sdtContent>
      <w:p w:rsidR="00870940" w:rsidRDefault="006F6C20">
        <w:pPr>
          <w:pStyle w:val="Footer"/>
          <w:jc w:val="center"/>
        </w:pPr>
        <w:r>
          <w:fldChar w:fldCharType="begin"/>
        </w:r>
        <w:r>
          <w:instrText xml:space="preserve"> PAGE   \* MERGEFORMAT </w:instrText>
        </w:r>
        <w:r>
          <w:fldChar w:fldCharType="separate"/>
        </w:r>
        <w:r w:rsidR="00BB3C36">
          <w:rPr>
            <w:noProof/>
          </w:rPr>
          <w:t>3</w:t>
        </w:r>
        <w:r>
          <w:rPr>
            <w:noProof/>
          </w:rPr>
          <w:fldChar w:fldCharType="end"/>
        </w:r>
      </w:p>
    </w:sdtContent>
  </w:sdt>
  <w:p w:rsidR="00870940" w:rsidRDefault="00016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FF3" w:rsidRDefault="00016FF3">
      <w:r>
        <w:separator/>
      </w:r>
    </w:p>
  </w:footnote>
  <w:footnote w:type="continuationSeparator" w:id="0">
    <w:p w:rsidR="00016FF3" w:rsidRDefault="00016F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41CB0"/>
    <w:multiLevelType w:val="hybridMultilevel"/>
    <w:tmpl w:val="547685C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7364A9E"/>
    <w:multiLevelType w:val="hybridMultilevel"/>
    <w:tmpl w:val="8A64C25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3B335D6E"/>
    <w:multiLevelType w:val="hybridMultilevel"/>
    <w:tmpl w:val="859081AE"/>
    <w:lvl w:ilvl="0" w:tplc="E4809624">
      <w:start w:val="1"/>
      <w:numFmt w:val="decimal"/>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F1601DA"/>
    <w:multiLevelType w:val="hybridMultilevel"/>
    <w:tmpl w:val="F8D839CE"/>
    <w:lvl w:ilvl="0" w:tplc="BCC6A02E">
      <w:start w:val="2"/>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44AF427F"/>
    <w:multiLevelType w:val="hybridMultilevel"/>
    <w:tmpl w:val="7708E57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5A3E4FDA"/>
    <w:multiLevelType w:val="hybridMultilevel"/>
    <w:tmpl w:val="E4D0A2D2"/>
    <w:lvl w:ilvl="0" w:tplc="3176C636">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71"/>
    <w:rsid w:val="00016FF3"/>
    <w:rsid w:val="00020713"/>
    <w:rsid w:val="000F49FB"/>
    <w:rsid w:val="00297680"/>
    <w:rsid w:val="003E2D3B"/>
    <w:rsid w:val="00490234"/>
    <w:rsid w:val="00600E49"/>
    <w:rsid w:val="006C494A"/>
    <w:rsid w:val="006F6C20"/>
    <w:rsid w:val="0074347D"/>
    <w:rsid w:val="00811FC5"/>
    <w:rsid w:val="00B43B8F"/>
    <w:rsid w:val="00BB1571"/>
    <w:rsid w:val="00BB3C36"/>
    <w:rsid w:val="00BC0C43"/>
    <w:rsid w:val="00F745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5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B1571"/>
    <w:pPr>
      <w:jc w:val="center"/>
    </w:pPr>
    <w:rPr>
      <w:b/>
      <w:sz w:val="20"/>
      <w:szCs w:val="32"/>
    </w:rPr>
  </w:style>
  <w:style w:type="character" w:customStyle="1" w:styleId="BodyText3Char">
    <w:name w:val="Body Text 3 Char"/>
    <w:basedOn w:val="DefaultParagraphFont"/>
    <w:link w:val="BodyText3"/>
    <w:rsid w:val="00BB1571"/>
    <w:rPr>
      <w:rFonts w:ascii="Times New Roman" w:eastAsia="Times New Roman" w:hAnsi="Times New Roman" w:cs="Times New Roman"/>
      <w:b/>
      <w:sz w:val="20"/>
      <w:szCs w:val="32"/>
      <w:lang w:val="en-US"/>
    </w:rPr>
  </w:style>
  <w:style w:type="paragraph" w:styleId="ListParagraph">
    <w:name w:val="List Paragraph"/>
    <w:basedOn w:val="Normal"/>
    <w:uiPriority w:val="34"/>
    <w:qFormat/>
    <w:rsid w:val="00BB1571"/>
    <w:pPr>
      <w:ind w:left="720"/>
      <w:contextualSpacing/>
    </w:pPr>
    <w:rPr>
      <w:lang w:val="en-GB"/>
    </w:rPr>
  </w:style>
  <w:style w:type="character" w:styleId="Strong">
    <w:name w:val="Strong"/>
    <w:basedOn w:val="DefaultParagraphFont"/>
    <w:uiPriority w:val="22"/>
    <w:qFormat/>
    <w:rsid w:val="00BB1571"/>
    <w:rPr>
      <w:b/>
      <w:bCs/>
    </w:rPr>
  </w:style>
  <w:style w:type="paragraph" w:styleId="Footer">
    <w:name w:val="footer"/>
    <w:basedOn w:val="Normal"/>
    <w:link w:val="FooterChar"/>
    <w:uiPriority w:val="99"/>
    <w:unhideWhenUsed/>
    <w:rsid w:val="00BB1571"/>
    <w:pPr>
      <w:tabs>
        <w:tab w:val="center" w:pos="4153"/>
        <w:tab w:val="right" w:pos="8306"/>
      </w:tabs>
    </w:pPr>
  </w:style>
  <w:style w:type="character" w:customStyle="1" w:styleId="FooterChar">
    <w:name w:val="Footer Char"/>
    <w:basedOn w:val="DefaultParagraphFont"/>
    <w:link w:val="Footer"/>
    <w:uiPriority w:val="99"/>
    <w:rsid w:val="00BB1571"/>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5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B1571"/>
    <w:pPr>
      <w:jc w:val="center"/>
    </w:pPr>
    <w:rPr>
      <w:b/>
      <w:sz w:val="20"/>
      <w:szCs w:val="32"/>
    </w:rPr>
  </w:style>
  <w:style w:type="character" w:customStyle="1" w:styleId="BodyText3Char">
    <w:name w:val="Body Text 3 Char"/>
    <w:basedOn w:val="DefaultParagraphFont"/>
    <w:link w:val="BodyText3"/>
    <w:rsid w:val="00BB1571"/>
    <w:rPr>
      <w:rFonts w:ascii="Times New Roman" w:eastAsia="Times New Roman" w:hAnsi="Times New Roman" w:cs="Times New Roman"/>
      <w:b/>
      <w:sz w:val="20"/>
      <w:szCs w:val="32"/>
      <w:lang w:val="en-US"/>
    </w:rPr>
  </w:style>
  <w:style w:type="paragraph" w:styleId="ListParagraph">
    <w:name w:val="List Paragraph"/>
    <w:basedOn w:val="Normal"/>
    <w:uiPriority w:val="34"/>
    <w:qFormat/>
    <w:rsid w:val="00BB1571"/>
    <w:pPr>
      <w:ind w:left="720"/>
      <w:contextualSpacing/>
    </w:pPr>
    <w:rPr>
      <w:lang w:val="en-GB"/>
    </w:rPr>
  </w:style>
  <w:style w:type="character" w:styleId="Strong">
    <w:name w:val="Strong"/>
    <w:basedOn w:val="DefaultParagraphFont"/>
    <w:uiPriority w:val="22"/>
    <w:qFormat/>
    <w:rsid w:val="00BB1571"/>
    <w:rPr>
      <w:b/>
      <w:bCs/>
    </w:rPr>
  </w:style>
  <w:style w:type="paragraph" w:styleId="Footer">
    <w:name w:val="footer"/>
    <w:basedOn w:val="Normal"/>
    <w:link w:val="FooterChar"/>
    <w:uiPriority w:val="99"/>
    <w:unhideWhenUsed/>
    <w:rsid w:val="00BB1571"/>
    <w:pPr>
      <w:tabs>
        <w:tab w:val="center" w:pos="4153"/>
        <w:tab w:val="right" w:pos="8306"/>
      </w:tabs>
    </w:pPr>
  </w:style>
  <w:style w:type="character" w:customStyle="1" w:styleId="FooterChar">
    <w:name w:val="Footer Char"/>
    <w:basedOn w:val="DefaultParagraphFont"/>
    <w:link w:val="Footer"/>
    <w:uiPriority w:val="99"/>
    <w:rsid w:val="00BB157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3298</Words>
  <Characters>1881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Ikskiles novada dome</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Laine Ezeriete</dc:creator>
  <cp:lastModifiedBy>Laine Ezeriete</cp:lastModifiedBy>
  <cp:revision>9</cp:revision>
  <cp:lastPrinted>2016-02-17T09:40:00Z</cp:lastPrinted>
  <dcterms:created xsi:type="dcterms:W3CDTF">2015-12-22T13:44:00Z</dcterms:created>
  <dcterms:modified xsi:type="dcterms:W3CDTF">2016-02-18T09:18:00Z</dcterms:modified>
</cp:coreProperties>
</file>